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sz w:val="30"/>
          <w:szCs w:val="30"/>
        </w:rPr>
      </w:pPr>
      <w:bookmarkStart w:id="0" w:name="_GoBack"/>
      <w:r>
        <w:rPr>
          <w:caps w:val="0"/>
          <w:color w:val="000000"/>
          <w:spacing w:val="0"/>
          <w:sz w:val="30"/>
          <w:szCs w:val="30"/>
          <w:bdr w:val="none" w:color="auto" w:sz="0" w:space="0"/>
        </w:rPr>
        <w:t>甲基三丁基氯化铵</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ascii="Arial" w:hAnsi="Arial" w:cs="Arial"/>
          <w:caps w:val="0"/>
          <w:color w:val="000000"/>
          <w:spacing w:val="0"/>
          <w:sz w:val="18"/>
          <w:szCs w:val="18"/>
        </w:rPr>
      </w:pPr>
      <w:r>
        <w:rPr>
          <w:rFonts w:hint="default" w:ascii="Arial" w:hAnsi="Arial" w:eastAsia="宋体" w:cs="Arial"/>
          <w:caps w:val="0"/>
          <w:color w:val="000000"/>
          <w:spacing w:val="0"/>
          <w:kern w:val="0"/>
          <w:sz w:val="18"/>
          <w:szCs w:val="18"/>
          <w:bdr w:val="none" w:color="auto" w:sz="0" w:space="0"/>
          <w:lang w:val="en-US" w:eastAsia="zh-CN" w:bidi="ar"/>
        </w:rPr>
        <w:t>化学品安全技术说明书 MSDS / SDS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Arial" w:hAnsi="Arial" w:cs="Arial"/>
          <w:caps w:val="0"/>
          <w:color w:val="888888"/>
          <w:spacing w:val="0"/>
          <w:sz w:val="14"/>
          <w:szCs w:val="14"/>
        </w:rPr>
      </w:pPr>
      <w:r>
        <w:rPr>
          <w:rFonts w:hint="default" w:ascii="Arial" w:hAnsi="Arial" w:eastAsia="宋体" w:cs="Arial"/>
          <w:caps w:val="0"/>
          <w:color w:val="888888"/>
          <w:spacing w:val="0"/>
          <w:kern w:val="0"/>
          <w:sz w:val="14"/>
          <w:szCs w:val="14"/>
          <w:bdr w:val="none" w:color="auto" w:sz="0" w:space="0"/>
          <w:lang w:val="en-US" w:eastAsia="zh-CN" w:bidi="ar"/>
        </w:rPr>
        <w:t>创建日期: 2021-03-12修正日期: 2021-04-08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888888"/>
          <w:spacing w:val="0"/>
          <w:kern w:val="0"/>
          <w:sz w:val="15"/>
          <w:szCs w:val="15"/>
          <w:bdr w:val="none" w:color="auto" w:sz="0" w:space="0"/>
          <w:lang w:val="en-US" w:eastAsia="zh-CN" w:bidi="ar"/>
        </w:rPr>
        <w:t>目录：</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 部分：化学品及企业标识</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"javascript:gotodetail('catalog2');"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2 部分：危险性概述</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"javascript:gotodetail('catalog3');"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3 部分：成分/组成信息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"javascript:gotodetail('catalog4');"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4 部分：急救措施</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"javascript:gotodetail('catalog5');"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5 部分：消防措施</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"javascript:gotodetail('catalog6');"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6 部分：泄露应急处理</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"javascript:gotodetail('catalog7');"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7 部分：操作处置与储存</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"javascript:gotodetail('catalog8');"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8 部分：接触控制/个体防护</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"javascript:gotodetail('catalog9');"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9 部分：理化特性</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"javascript:gotodetail('catalog10');"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10 部分：稳定性和反应性</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"javascript:gotodetail('catalog11');"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11 部分：毒理学信息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"javascript:gotodetail('catalog12');"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12 部分：生态学信息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"javascript:gotodetail('catalog13');"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13 部分：废弃处置</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"javascript:gotodetail('catalog14');"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14 部分：运输信息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"javascript:gotodetail('catalog15');"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15 部分：法规信息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r>
        <w:rPr>
          <w:rFonts w:hint="default" w:ascii="Arial" w:hAnsi="Arial" w:eastAsia="宋体" w:cs="Arial"/>
          <w:caps w:val="0"/>
          <w:color w:val="000000"/>
          <w:spacing w:val="0"/>
          <w:kern w:val="0"/>
          <w:sz w:val="14"/>
          <w:szCs w:val="14"/>
          <w:bdr w:val="none" w:color="auto" w:sz="0" w:space="0"/>
          <w:lang w:val="en-US" w:eastAsia="zh-CN" w:bidi="ar"/>
        </w:rPr>
        <w:t> </w:t>
      </w:r>
      <w:r>
        <w:rPr>
          <w:rFonts w:hint="default" w:ascii="Arial" w:hAnsi="Arial" w:eastAsia="宋体" w:cs="Arial"/>
          <w:caps w:val="0"/>
          <w:color w:val="888888"/>
          <w:spacing w:val="0"/>
          <w:kern w:val="0"/>
          <w:sz w:val="14"/>
          <w:szCs w:val="14"/>
          <w:u w:val="none"/>
          <w:bdr w:val="none" w:color="auto" w:sz="0" w:space="0"/>
          <w:lang w:val="en-US" w:eastAsia="zh-CN" w:bidi="ar"/>
        </w:rPr>
        <w:fldChar w:fldCharType="begin"/>
      </w:r>
      <w:r>
        <w:rPr>
          <w:rFonts w:hint="default" w:ascii="Arial" w:hAnsi="Arial" w:eastAsia="宋体" w:cs="Arial"/>
          <w:caps w:val="0"/>
          <w:color w:val="888888"/>
          <w:spacing w:val="0"/>
          <w:kern w:val="0"/>
          <w:sz w:val="14"/>
          <w:szCs w:val="14"/>
          <w:u w:val="none"/>
          <w:bdr w:val="none" w:color="auto" w:sz="0" w:space="0"/>
          <w:lang w:val="en-US" w:eastAsia="zh-CN" w:bidi="ar"/>
        </w:rPr>
        <w:instrText xml:space="preserve"> HYPERLINK "javascript:gotodetail('catalog16');" </w:instrText>
      </w:r>
      <w:r>
        <w:rPr>
          <w:rFonts w:hint="default" w:ascii="Arial" w:hAnsi="Arial" w:eastAsia="宋体" w:cs="Arial"/>
          <w:caps w:val="0"/>
          <w:color w:val="888888"/>
          <w:spacing w:val="0"/>
          <w:kern w:val="0"/>
          <w:sz w:val="14"/>
          <w:szCs w:val="14"/>
          <w:u w:val="none"/>
          <w:bdr w:val="none" w:color="auto" w:sz="0" w:space="0"/>
          <w:lang w:val="en-US" w:eastAsia="zh-CN" w:bidi="ar"/>
        </w:rPr>
        <w:fldChar w:fldCharType="separate"/>
      </w:r>
      <w:r>
        <w:rPr>
          <w:rStyle w:val="12"/>
          <w:rFonts w:hint="default" w:ascii="Arial" w:hAnsi="Arial" w:eastAsia="宋体" w:cs="Arial"/>
          <w:caps w:val="0"/>
          <w:color w:val="888888"/>
          <w:spacing w:val="0"/>
          <w:sz w:val="14"/>
          <w:szCs w:val="14"/>
          <w:u w:val="none"/>
          <w:bdr w:val="none" w:color="auto" w:sz="0" w:space="0"/>
        </w:rPr>
        <w:t>第 16 部分：其他信息</w:t>
      </w:r>
      <w:r>
        <w:rPr>
          <w:rFonts w:hint="default" w:ascii="Arial" w:hAnsi="Arial" w:eastAsia="宋体" w:cs="Arial"/>
          <w:caps w:val="0"/>
          <w:color w:val="888888"/>
          <w:spacing w:val="0"/>
          <w:kern w:val="0"/>
          <w:sz w:val="14"/>
          <w:szCs w:val="14"/>
          <w:u w:val="none"/>
          <w:bdr w:val="none" w:color="auto" w:sz="0" w:space="0"/>
          <w:lang w:val="en-US" w:eastAsia="zh-CN" w:bidi="ar"/>
        </w:rPr>
        <w:fldChar w:fldCharType="end"/>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rPr>
          <w:rFonts w:hint="default" w:ascii="Arial" w:hAnsi="Arial" w:cs="Arial"/>
          <w:caps w:val="0"/>
          <w:color w:val="000000"/>
          <w:spacing w:val="0"/>
          <w:sz w:val="14"/>
          <w:szCs w:val="14"/>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 部分：化学品及企业标识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产品信息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中文名称：甲基三丁基氯化铵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英文名称：Methyl tributyl ammonium chloride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CB 号：CB2227315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CAS 号：56375-79-2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EINECS Number：260-135-8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化学别名：三丁基甲基氯化铵,三丁基甲基氯化铵 溶液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物质或混合物的相关确定用途及不建议使用的用途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已确认用途：仅用于研发。不作为药品、家庭或其它用途。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建议禁止使用：暂无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提供者信息</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企业名称：Chemicalbook</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企业地址：北京市海淀区上地十街辉煌国际1号楼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企业电话：400-158-6606</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2 部分：危险性概述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紧急情况概述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结晶浅褐色造成皮肤刺激。, 造成严重眼刺激。, 可能造成呼吸道刺激。 请教医生。, 向到现场的医生出示此安全技术说明书。 如果吸入,请将患者移到新鲜空气处。, 如呼吸停止，进行人工呼吸。, 请教医生。用肥皂和大量的水冲洗。, 请教医生。 用大量水彻底冲洗至少15分钟并请教医生。 切勿给失去知觉者喂食任何东西。, 用水漱口。, 请教医生。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GHS危险性类别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皮肤腐蚀/刺激 ( 类别 2 ), H315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严重眼睛损伤/眼睛刺激性 ( 类别 2A ), H319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特异性靶器官系统毒性（一次接触） ( 类别 3 ), 呼吸道刺激 , H335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本部分提及的健康说明（H-)全文请见第16部分。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GHS 标签要素，包括防范说明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象形图</w:t>
      </w:r>
      <w:r>
        <w:rPr>
          <w:rFonts w:hint="default" w:ascii="Arial" w:hAnsi="Arial" w:cs="Arial"/>
          <w:caps w:val="0"/>
          <w:color w:val="000000"/>
          <w:spacing w:val="0"/>
          <w:sz w:val="14"/>
          <w:szCs w:val="14"/>
          <w:bdr w:val="none" w:color="auto" w:sz="0" w:space="0"/>
        </w:rPr>
        <w:drawing>
          <wp:inline distT="0" distB="0" distL="114300" distR="114300">
            <wp:extent cx="942975" cy="942975"/>
            <wp:effectExtent l="0" t="0" r="9525"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4"/>
                    <a:stretch>
                      <a:fillRect/>
                    </a:stretch>
                  </pic:blipFill>
                  <pic:spPr>
                    <a:xfrm>
                      <a:off x="0" y="0"/>
                      <a:ext cx="942975" cy="942975"/>
                    </a:xfrm>
                    <a:prstGeom prst="rect">
                      <a:avLst/>
                    </a:prstGeom>
                    <a:noFill/>
                    <a:ln w="9525">
                      <a:noFill/>
                    </a:ln>
                  </pic:spPr>
                </pic:pic>
              </a:graphicData>
            </a:graphic>
          </wp:inline>
        </w:drawing>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信号词警告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000000"/>
          <w:spacing w:val="0"/>
          <w:kern w:val="0"/>
          <w:sz w:val="14"/>
          <w:szCs w:val="14"/>
          <w:bdr w:val="none" w:color="auto" w:sz="0" w:space="0"/>
          <w:lang w:val="en-US" w:eastAsia="zh-CN" w:bidi="ar"/>
        </w:rPr>
        <w:t>危险申明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H315 造成皮肤刺激。</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H319 造成严重眼刺激。</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H335 可能造成呼吸道刺激。</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预防措施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P261 避免吸入粉尘/烟/气体/烟雾/蒸气/喷雾。</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P264 作业后彻底清洗皮肤。</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P271 只能在室外或通风良好之处使用。</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P280 戴防护手套/戴防护眼罩/戴防护面具。</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事故响应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P302+P352 如皮肤沾染：用水充分清洗。</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P304+P340+P312 如误吸入：将人转移到空气新鲜处，保持呼吸舒适体位。如感觉不适，呼 叫急救中心/医生。</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P305+P351+P338 如进入眼睛：用水小心冲洗几分钟。如戴隐形眼镜并可方便地取出，取出 隐形眼镜。继续冲洗。</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P332+P313 如发生皮肤刺激：求医/就诊。</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P337+P313 如仍觉眼刺激：求医/就诊。</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储存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P403+P233 存放在通风良好的地方。</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保持容器密闭。</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P405 存放处须加锁。</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废弃处置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P501 将内装物/容器送到批准的废物处理厂处理。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物理和化学危险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目前掌握信息，没有物理或化学的危险性。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健康危害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H315 造成皮肤刺激。</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H319 造成严重眼刺激。</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H335 可能造成呼吸道刺激。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环境危害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目前掌握信息，没有环境的危害。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其它危害物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 无</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rPr>
          <w:rFonts w:hint="default" w:ascii="Arial" w:hAnsi="Arial" w:cs="Arial"/>
          <w:caps w:val="0"/>
          <w:color w:val="000000"/>
          <w:spacing w:val="0"/>
          <w:sz w:val="14"/>
          <w:szCs w:val="14"/>
        </w:rP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3 部分：成分/组成信息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物质</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中文名称：甲基三丁基氯化铵</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化学别名：三丁基甲基氯化铵,三丁基甲基氯化铵 溶液</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CAS 号：56375-79-2</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EC number：260-135-8</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分子式：C13H30ClN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分子量：235.84</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4 部分：急救措施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必要的急救措施描述</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一般的建议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请教医生。 向到现场的医生出示此安全技术说明书。</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吸入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如果吸入,请将患者移到新鲜空气处。 如呼吸停止，进行人工呼吸。 请教医生。</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皮肤接触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用肥皂和大量的水冲洗。 请教医生。</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眼睛接触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用大量水彻底冲洗至少15分钟并请教医生。</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食入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切勿给失去知觉者喂食任何东西。 用水漱口。 请教医生。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最重要的症状和健康影响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最重要的已知症状及作用已在标签（参见章节2.2）和/或章节11中介绍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及时的医疗处理和所需的特殊处理的说明和指示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对医生的特别提示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rPr>
          <w:rFonts w:hint="default" w:ascii="Arial" w:hAnsi="Arial" w:cs="Arial"/>
          <w:caps w:val="0"/>
          <w:color w:val="000000"/>
          <w:spacing w:val="0"/>
          <w:sz w:val="14"/>
          <w:szCs w:val="14"/>
        </w:rPr>
        <w:pict>
          <v:rect id="_x0000_i1030"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5 部分：消防措施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灭火介质</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灭火方法及灭火剂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用水雾，耐醇泡沫，干粉或二氧化碳灭火。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源于此物质或混合物的特别的危害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碳氧化物, 氮氧化物, 氯化氢气体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灭火注意事项及保护措施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如有必要，佩戴自给式呼吸器进行消防作业。</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6 部分：泄露应急处理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人员防护措施、防护装备和应急处置程序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使用个人防护装备。 避免粉尘生成。 避免吸入蒸气、气雾或气体。 保证充分的通风。 将人员疏散到安全区域。 避免吸入粉尘。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有关个人防护,请看第8部分。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环境保护措施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不要让产品进入下水道。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泄漏化学品的收容、清除方法及所使用的处置材料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收集和处置时不要产生粉尘。 扫掉和铲掉。 放入合适的封闭的容器中待处理。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参考其他部分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丢弃处理请参阅第13节。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2"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7 部分：操作处置与储存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安全操作的注意事项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避免接触皮肤和眼睛。 避免形成粉尘和气溶胶。在有粉尘生成的地方,提供合适的排风设备。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有关预防措施，请参见章节2.2。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安全储存的条件,包括任何不兼容性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使容器保持密闭，储存在干燥通风处。</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3"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8 部分：接触控制/个体防护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控制参数</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危害组成及职业接触限值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没有已知的国家规定的暴露极限。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暴露控制</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适当的技术控制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按照良好的工业卫生和安全规范进行操作。 休息前及工作结束时洗手。</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个体防护装备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888888"/>
          <w:spacing w:val="0"/>
          <w:kern w:val="0"/>
          <w:sz w:val="14"/>
          <w:szCs w:val="14"/>
          <w:bdr w:val="none" w:color="auto" w:sz="0" w:space="0"/>
          <w:lang w:val="en-US" w:eastAsia="zh-CN" w:bidi="ar"/>
        </w:rPr>
        <w:t>眼面防护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带有防护边罩的安全眼镜符合 EN166要求请使用经官方标准如NIOSH (美国) 或 EN 166(欧盟) 检测与批准的设备防护眼部。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888888"/>
          <w:spacing w:val="0"/>
          <w:kern w:val="0"/>
          <w:sz w:val="14"/>
          <w:szCs w:val="14"/>
          <w:bdr w:val="none" w:color="auto" w:sz="0" w:space="0"/>
          <w:lang w:val="en-US" w:eastAsia="zh-CN" w:bidi="ar"/>
        </w:rPr>
        <w:t>皮肤保护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所选择的保护手套必须符合法规 (EU)2016/425 和从它衍生出来的 EN 374 标准所给出的规格。完全接触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材料 : 丁腈橡胶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最小的层厚度 0.11 mm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溶剂渗透时间 : 480 分钟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测试过的物质Dermatril? (KCL 740 / Aldrich Z677272, 规格 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飞溅保护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材料 : 丁腈橡胶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最小的层厚度 0.11 mm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溶剂渗透时间 : 480 分钟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测试过的物质Dermatril? (KCL 740 / Aldrich Z677272, 规格 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数据来源 KCL GmbH, D-36124 Eichenzell, 电话号码 +49 (0)6659 87300, e-mail sales@kcl.de,测试方法 EN374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如果以溶剂形式应用或与其它物质混合应用，或在不同于EN 374规定的条件下应用，请与EC批准的手套的供应商联系。 这个推荐只是建议性的,并且务必让熟悉我们客户计划使用的特定情况的工业卫生学专家评估确认才可. 这不应该解释为在提供对任何特定使用情况方法的批准.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888888"/>
          <w:spacing w:val="0"/>
          <w:kern w:val="0"/>
          <w:sz w:val="14"/>
          <w:szCs w:val="14"/>
          <w:bdr w:val="none" w:color="auto" w:sz="0" w:space="0"/>
          <w:lang w:val="en-US" w:eastAsia="zh-CN" w:bidi="ar"/>
        </w:rPr>
        <w:t>身体保护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防渗透的衣服, 防护设备的类型必须根据特定工作场所中的危险物的浓度和数量来选择。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888888"/>
          <w:spacing w:val="0"/>
          <w:kern w:val="0"/>
          <w:sz w:val="14"/>
          <w:szCs w:val="14"/>
          <w:bdr w:val="none" w:color="auto" w:sz="0" w:space="0"/>
          <w:lang w:val="en-US" w:eastAsia="zh-CN" w:bidi="ar"/>
        </w:rPr>
        <w:t>呼吸系统防护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如须暴露于有害环境中,请使用P95型(美国)或P1型(欧盟英国 143)防微粒呼吸器。如需更高级别防护,请使用OV/AG/P99型(美国)或ABEK-P2型 (欧盟英国 143) 防毒罐。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呼吸器使用经过测试并通过政府标准如NIOSH（US）或CEN（EU）的呼吸器和零件。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b/>
          <w:bCs/>
          <w:caps w:val="0"/>
          <w:color w:val="888888"/>
          <w:spacing w:val="0"/>
          <w:kern w:val="0"/>
          <w:sz w:val="14"/>
          <w:szCs w:val="14"/>
          <w:bdr w:val="none" w:color="auto" w:sz="0" w:space="0"/>
          <w:lang w:val="en-US" w:eastAsia="zh-CN" w:bidi="ar"/>
        </w:rPr>
        <w:t>环境暴露的控制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不要让产品进入下水道。</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4"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9 部分：理化特性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基本的理化特性的信息</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外观与性状形状:结晶颜色:浅褐色</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气味无数据资料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气味阈值无数据资料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d)pH值无数据资料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e)熔点/凝固点无数据资料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f)初沸点和沸程无数据资料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g)闪点无数据资料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h)蒸发速率无数据资料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i)易燃性(固体,气体)无数据资料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j)高的/低的燃烧性或爆炸性限度无数据资料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k)蒸气压无数据资料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l)蒸气密度无数据资料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m)密度/相对密度无数据资料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n)水溶性无数据资料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o)正辛醇/水分配系数无数据资料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p)自燃温度无数据资料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q)分解温度无数据资料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r)黏度无数据资料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s)爆炸特性无数据资料</w:t>
      </w:r>
    </w:p>
    <w:p>
      <w:pPr>
        <w:keepNext w:val="0"/>
        <w:keepLines w:val="0"/>
        <w:widowControl/>
        <w:numPr>
          <w:ilvl w:val="0"/>
          <w:numId w:val="7"/>
        </w:numPr>
        <w:suppressLineNumbers w:val="0"/>
        <w:pBdr>
          <w:top w:val="none" w:color="auto" w:sz="0" w:space="0"/>
          <w:left w:val="none" w:color="auto" w:sz="0" w:space="0"/>
          <w:bottom w:val="dotted" w:color="999999" w:sz="4" w:space="0"/>
          <w:right w:val="none" w:color="auto" w:sz="0" w:space="0"/>
        </w:pBdr>
        <w:spacing w:before="0" w:beforeAutospacing="0" w:after="0" w:afterAutospacing="0" w:line="260" w:lineRule="atLeast"/>
        <w:ind w:left="0" w:right="0" w:hanging="360"/>
      </w:pPr>
      <w:r>
        <w:rPr>
          <w:rFonts w:hint="default" w:ascii="Arial" w:hAnsi="Arial" w:cs="Arial"/>
          <w:caps w:val="0"/>
          <w:color w:val="000000"/>
          <w:spacing w:val="0"/>
          <w:sz w:val="14"/>
          <w:szCs w:val="14"/>
          <w:bdr w:val="none" w:color="auto" w:sz="0" w:space="0"/>
        </w:rPr>
        <w:t>t)氧化性无数据资料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10 部分：稳定性和反应性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稳定性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在建议的贮存条件下是稳定的。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危险反应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应避免的条件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禁配物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强氧化剂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危险的分解产物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在着火情况下，会分解生成有害物质。 - 碳氧化物, 氮氧化物, 氯化氢气体其他分解产物 - 无数据资料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當起火時:見第 5 節滅火措施.</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11 部分：毒理学信息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毒理学影响的信息</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急性毒性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皮肤腐蚀/刺激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严重眼睛损伤/眼刺激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呼吸或皮肤过敏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生殖细胞致突变性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致癌性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IARC: 此产品中所有含量大于等于0.1%的组分中，没有被IARC鉴别为已知或可能的致癌物。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生殖毒性</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特异性靶器官系统毒性（一次接触）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吸入 - 可能造成呼吸道刺激。</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特异性靶器官系统毒性（反复接触）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吸入危害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附加说明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化学物质毒性作用登记 : 无数据资料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据我们所知，此化学，物理和毒性性质尚未经完整的研究。</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12 部分：生态学信息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生态毒性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持久性和降解性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生物蓄积潜力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土壤中的迁移性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无数据资料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PBT和vPvB的结果评价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由于化学品安全评估未要求/未开展，因此 PBT/vPvB 评估不可用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其他环境有害作用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无数据资料</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rPr>
          <w:rFonts w:hint="default" w:ascii="Arial" w:hAnsi="Arial" w:cs="Arial"/>
          <w:caps w:val="0"/>
          <w:color w:val="000000"/>
          <w:spacing w:val="0"/>
          <w:sz w:val="14"/>
          <w:szCs w:val="14"/>
        </w:rPr>
        <w:pict>
          <v:rect id="_x0000_i1038"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13 部分：废弃处置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废物处理方法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将剩余的和不可回收的溶液交给有许可证的公司处理。 与易燃溶剂相溶或者相混合，在备有燃烧后处理和洗刷作用的化学焚化炉中燃烧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污染包装物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按未用产品处置。</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39"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14 部分：运输信息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联合国编号 / UN number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联合国运输名称 / UN proper shipping name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欧洲陆运危规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ADR/RID: 非危险货物 国际海运危规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IMDG: Not dangerous goods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国际空运危规 : 非危险货物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IATA-DGR: Not dangerous goods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运输危险类别 / Transport hazard class(es)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包裹组 / Packaging group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欧洲陆运危规 / ADR/RID: - 国际海运危规 / IMDG: - 国际空运危规 / IATA-DGR: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环境危害 / Environmental hazards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ADR/RID 欧洲负责公路运输的机构/欧洲负责铁路运输的机构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国际海运危险货物规则 (IMDG) 海洋污染物（是/否） : 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国际空运危规 : 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特殊防范措施 / Special precautions for user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请根据化学品性质选择合适的运输工具及相应的运输储存条件。运输工具应配备相应品种和数量的消防材料及泄露应急处理设备。如选择公路运输，请按规定路线行驶。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禁配物 / Incompatible materials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强氧化剂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pict>
          <v:rect id="_x0000_i1040"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15 部分：法规信息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专门对此物质或混合物的安全，健康和环境的规章 / 法规适用法规</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中华人民共和国职业病防止法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职业病危害因素分类目录: 未列入</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危险化学品安全管理条例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危险品化学品目录（2018）: 未列入</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危险化学品环境管理登记办法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重点环境管理危险化学品目录（2014）: 未列入</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麻醉药品和精神药品管理条例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麻醉药品品种目录（2013）: 未列入</w:t>
      </w:r>
      <w:r>
        <w:rPr>
          <w:rFonts w:hint="default" w:ascii="Arial" w:hAnsi="Arial" w:eastAsia="宋体" w:cs="Arial"/>
          <w:caps w:val="0"/>
          <w:color w:val="000000"/>
          <w:spacing w:val="0"/>
          <w:kern w:val="0"/>
          <w:sz w:val="14"/>
          <w:szCs w:val="14"/>
          <w:bdr w:val="none" w:color="auto" w:sz="0" w:space="0"/>
          <w:lang w:val="en-US" w:eastAsia="zh-CN" w:bidi="ar"/>
        </w:rPr>
        <w:br w:type="textWrapping"/>
      </w:r>
      <w:r>
        <w:rPr>
          <w:rFonts w:hint="default" w:ascii="Arial" w:hAnsi="Arial" w:eastAsia="宋体" w:cs="Arial"/>
          <w:caps w:val="0"/>
          <w:color w:val="000000"/>
          <w:spacing w:val="0"/>
          <w:kern w:val="0"/>
          <w:sz w:val="14"/>
          <w:szCs w:val="14"/>
          <w:bdr w:val="none" w:color="auto" w:sz="0" w:space="0"/>
          <w:lang w:val="en-US" w:eastAsia="zh-CN" w:bidi="ar"/>
        </w:rPr>
        <w:t>精神药品品种目录（2013）: 未列入</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新化学物质环境管理办法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中国现有化学物质名录: 未列入</w:t>
      </w:r>
    </w:p>
    <w:p>
      <w:pPr>
        <w:keepNext w:val="0"/>
        <w:keepLines w:val="0"/>
        <w:widowControl/>
        <w:suppressLineNumbers w:val="0"/>
        <w:spacing w:before="0" w:beforeAutospacing="1" w:after="0" w:afterAutospacing="1"/>
        <w:ind w:left="0" w:right="0"/>
        <w:jc w:val="left"/>
      </w:pPr>
      <w:r>
        <w:rPr>
          <w:rFonts w:hint="default" w:ascii="Arial" w:hAnsi="Arial" w:eastAsia="宋体" w:cs="Arial"/>
          <w:b/>
          <w:bCs/>
          <w:caps w:val="0"/>
          <w:color w:val="000000"/>
          <w:spacing w:val="0"/>
          <w:kern w:val="0"/>
          <w:sz w:val="14"/>
          <w:szCs w:val="14"/>
          <w:bdr w:val="none" w:color="auto" w:sz="0" w:space="0"/>
          <w:lang w:val="en-US" w:eastAsia="zh-CN" w:bidi="ar"/>
        </w:rPr>
        <w:t>其它的规定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Arial" w:hAnsi="Arial" w:cs="Arial"/>
          <w:caps w:val="0"/>
          <w:color w:val="000000"/>
          <w:spacing w:val="0"/>
          <w:sz w:val="14"/>
          <w:szCs w:val="14"/>
        </w:rPr>
      </w:pPr>
      <w:r>
        <w:rPr>
          <w:rFonts w:hint="default" w:ascii="Arial" w:hAnsi="Arial" w:eastAsia="宋体" w:cs="Arial"/>
          <w:caps w:val="0"/>
          <w:color w:val="000000"/>
          <w:spacing w:val="0"/>
          <w:kern w:val="0"/>
          <w:sz w:val="14"/>
          <w:szCs w:val="14"/>
          <w:bdr w:val="none" w:color="auto" w:sz="0" w:space="0"/>
          <w:lang w:val="en-US" w:eastAsia="zh-CN" w:bidi="ar"/>
        </w:rPr>
        <w:t>请注意废物处理也应该满足当地法规的要求。</w:t>
      </w:r>
    </w:p>
    <w:p>
      <w:pPr>
        <w:keepNext w:val="0"/>
        <w:keepLines w:val="0"/>
        <w:widowControl/>
        <w:suppressLineNumbers w:val="0"/>
        <w:pBdr>
          <w:top w:val="single" w:color="FF7300" w:sz="2" w:space="0"/>
          <w:left w:val="none" w:color="auto" w:sz="0" w:space="0"/>
          <w:bottom w:val="none" w:color="auto" w:sz="0" w:space="0"/>
          <w:right w:val="none" w:color="auto" w:sz="0" w:space="0"/>
        </w:pBdr>
        <w:spacing w:before="250" w:beforeAutospacing="0" w:after="0" w:afterAutospacing="0" w:line="260" w:lineRule="atLeast"/>
        <w:ind w:left="0" w:right="0"/>
      </w:pPr>
      <w:r>
        <w:rPr>
          <w:rFonts w:hint="default" w:ascii="Arial" w:hAnsi="Arial" w:cs="Arial"/>
          <w:caps w:val="0"/>
          <w:color w:val="000000"/>
          <w:spacing w:val="0"/>
          <w:sz w:val="14"/>
          <w:szCs w:val="14"/>
        </w:rPr>
        <w:pict>
          <v:rect id="_x0000_i1041"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single" w:color="333333" w:sz="8" w:space="5"/>
          <w:right w:val="none" w:color="auto" w:sz="0" w:space="0"/>
        </w:pBdr>
        <w:spacing w:before="0" w:beforeAutospacing="0" w:after="0" w:afterAutospacing="0" w:line="260" w:lineRule="atLeast"/>
        <w:ind w:left="0" w:right="0"/>
        <w:rPr>
          <w:b w:val="0"/>
          <w:bCs w:val="0"/>
          <w:color w:val="333333"/>
        </w:rPr>
      </w:pPr>
      <w:r>
        <w:rPr>
          <w:b w:val="0"/>
          <w:bCs w:val="0"/>
          <w:caps w:val="0"/>
          <w:color w:val="333333"/>
          <w:spacing w:val="0"/>
          <w:bdr w:val="none" w:color="auto" w:sz="0" w:space="0"/>
        </w:rPr>
        <w:t>第 16 部分：其他信息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参考文献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【1】国际化学品安全规划署：国际化学品安全卡（ICSC），网址：http://www.ilo.org/dyn/icsc/showcard.home。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【2】国际癌症研究机构，网址：http://www.iarc.fr/。</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【3】OECD 全球化学品信息平台，网址：http://www.echemportal.org/echemportal/index?pageID=0&amp;request_locale=en。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【4】美国 CAMEO 化学物质数据库，网址：http://cameochemicals.noaa.gov/search/simple。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【5】美国医学图书馆:化学品标识数据库，网址：http://chem.sis.nlm.nih.gov/chemidplus/chemidlite.jsp。</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【6】美国环境保护署：综合危险性信息系统，网址：http://cfpub.epa.gov/iris/。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【7】美国交通部：应急响应指南，网址：http://www.phmsa.dot.gov/hazmat/library/erg。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【8】德国GESTIS-有害物质数据库，网址：http://gestis-en.itrust.de/。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【9】Sigma-Aldrich，网址：https://www.sigmaaldrich.com/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其他信息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caps w:val="0"/>
          <w:color w:val="000000"/>
          <w:spacing w:val="0"/>
          <w:bdr w:val="none" w:color="auto" w:sz="0" w:space="0"/>
        </w:rPr>
        <w:t>安全技术说明书第2、3部分提及的危险性说明的全文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H315 造成皮肤刺激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H319 造成严重眼刺激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pPr>
      <w:r>
        <w:rPr>
          <w:rFonts w:hint="default" w:ascii="Arial" w:hAnsi="Arial" w:cs="Arial"/>
          <w:caps w:val="0"/>
          <w:color w:val="000000"/>
          <w:spacing w:val="0"/>
          <w:sz w:val="14"/>
          <w:szCs w:val="14"/>
          <w:bdr w:val="none" w:color="auto" w:sz="0" w:space="0"/>
        </w:rPr>
        <w:t>H335 可能造成呼吸道刺激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left"/>
        <w:rPr>
          <w:rFonts w:ascii="微软雅黑" w:hAnsi="微软雅黑" w:eastAsia="微软雅黑" w:cs="微软雅黑"/>
          <w:i w:val="0"/>
          <w:iCs w:val="0"/>
          <w:caps w:val="0"/>
          <w:color w:val="999999"/>
          <w:spacing w:val="0"/>
          <w:sz w:val="14"/>
          <w:szCs w:val="14"/>
        </w:rPr>
      </w:pPr>
      <w:r>
        <w:rPr>
          <w:rFonts w:hint="eastAsia" w:ascii="微软雅黑" w:hAnsi="微软雅黑" w:eastAsia="微软雅黑" w:cs="微软雅黑"/>
          <w:b/>
          <w:bCs/>
          <w:i w:val="0"/>
          <w:iCs w:val="0"/>
          <w:caps w:val="0"/>
          <w:color w:val="999999"/>
          <w:spacing w:val="0"/>
          <w:kern w:val="0"/>
          <w:sz w:val="14"/>
          <w:szCs w:val="14"/>
          <w:bdr w:val="none" w:color="auto" w:sz="0" w:space="0"/>
          <w:lang w:val="en-US" w:eastAsia="zh-CN" w:bidi="ar"/>
        </w:rPr>
        <w:t>免责声明：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999999"/>
          <w:spacing w:val="0"/>
          <w:sz w:val="14"/>
          <w:szCs w:val="14"/>
          <w:bdr w:val="none" w:color="auto" w:sz="0" w:space="0"/>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rPr>
          <w:rFonts w:hint="default"/>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9D913"/>
    <w:multiLevelType w:val="multilevel"/>
    <w:tmpl w:val="C9A9D9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298D4148"/>
    <w:multiLevelType w:val="multilevel"/>
    <w:tmpl w:val="298D414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45C55AC7"/>
    <w:multiLevelType w:val="multilevel"/>
    <w:tmpl w:val="45C55A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6C6159AF"/>
    <w:multiLevelType w:val="multilevel"/>
    <w:tmpl w:val="6C6159A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6CAAC513"/>
    <w:multiLevelType w:val="multilevel"/>
    <w:tmpl w:val="6CAAC5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6FDAE3C3"/>
    <w:multiLevelType w:val="multilevel"/>
    <w:tmpl w:val="6FDAE3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78D16F56"/>
    <w:multiLevelType w:val="multilevel"/>
    <w:tmpl w:val="78D16F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Q1ZTFiNmQ1ZjFjYTFmZjkwZGMwOTgxMDE2NTQifQ=="/>
  </w:docVars>
  <w:rsids>
    <w:rsidRoot w:val="00172A27"/>
    <w:rsid w:val="0880386C"/>
    <w:rsid w:val="11027246"/>
    <w:rsid w:val="19E75BFB"/>
    <w:rsid w:val="1DFF432E"/>
    <w:rsid w:val="1E241162"/>
    <w:rsid w:val="3C9A513B"/>
    <w:rsid w:val="41801BCC"/>
    <w:rsid w:val="4E1D43AD"/>
    <w:rsid w:val="67945075"/>
    <w:rsid w:val="6E3631FD"/>
    <w:rsid w:val="73351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cs="宋体"/>
      <w:b/>
      <w:kern w:val="0"/>
      <w:sz w:val="36"/>
      <w:szCs w:val="36"/>
      <w:lang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unhideWhenUsed/>
    <w:uiPriority w:val="0"/>
    <w:rPr>
      <w:rFonts w:hint="default"/>
      <w:sz w:val="24"/>
      <w:szCs w:val="24"/>
    </w:rPr>
  </w:style>
  <w:style w:type="table" w:default="1" w:styleId="9">
    <w:name w:val="Normal Table"/>
    <w:qFormat/>
    <w:uiPriority w:val="0"/>
    <w:tblPr>
      <w:tblCellMar>
        <w:top w:w="0" w:type="dxa"/>
        <w:left w:w="108" w:type="dxa"/>
        <w:bottom w:w="0" w:type="dxa"/>
        <w:right w:w="108" w:type="dxa"/>
      </w:tblCellMar>
    </w:tblPr>
  </w:style>
  <w:style w:type="paragraph" w:styleId="8">
    <w:name w:val="Normal (Web)"/>
    <w:basedOn w:val="1"/>
    <w:unhideWhenUsed/>
    <w:qFormat/>
    <w:uiPriority w:val="0"/>
    <w:pPr>
      <w:spacing w:before="100" w:beforeAutospacing="1" w:after="100" w:afterAutospacing="1"/>
      <w:jc w:val="left"/>
    </w:pPr>
    <w:rPr>
      <w:rFonts w:hint="default"/>
      <w:kern w:val="0"/>
      <w:sz w:val="24"/>
      <w:szCs w:val="24"/>
      <w:lang w:bidi="ar"/>
    </w:rPr>
  </w:style>
  <w:style w:type="character" w:styleId="11">
    <w:name w:val="Strong"/>
    <w:basedOn w:val="10"/>
    <w:unhideWhenUsed/>
    <w:qFormat/>
    <w:uiPriority w:val="0"/>
    <w:rPr>
      <w:rFonts w:hint="default"/>
      <w:b/>
      <w:sz w:val="24"/>
      <w:szCs w:val="24"/>
    </w:rPr>
  </w:style>
  <w:style w:type="character" w:styleId="12">
    <w:name w:val="Hyperlink"/>
    <w:basedOn w:val="10"/>
    <w:unhideWhenUsed/>
    <w:qFormat/>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4012</Words>
  <Characters>5657</Characters>
  <TotalTime>96</TotalTime>
  <ScaleCrop>false</ScaleCrop>
  <LinksUpToDate>false</LinksUpToDate>
  <CharactersWithSpaces>5869</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2023-03-11T00:54:00Z</dcterms:created>
  <dc:creator>Administrator</dc:creator>
  <cp:lastModifiedBy>Administrator</cp:lastModifiedBy>
  <dcterms:modified xsi:type="dcterms:W3CDTF">2023-03-14T10:43:00Z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B8EA214DCEBB4C87BD27B027C40A6524</vt:lpwstr>
  </property>
</Properties>
</file>