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numPr>
          <w:numId w:val="0"/>
        </w:numPr>
        <w:suppressLineNumbers w:val="0"/>
        <w:pBdr>
          <w:top w:val="single" w:color="E4F2FF" w:sz="4" w:space="0"/>
          <w:right w:val="single" w:color="E4F2FF" w:sz="4" w:space="0"/>
        </w:pBdr>
        <w:shd w:val="clear" w:fill="FFFFFF"/>
        <w:spacing w:before="0" w:beforeAutospacing="0" w:after="0" w:afterAutospacing="0"/>
        <w:ind w:left="180" w:leftChars="0" w:right="50" w:rightChars="0"/>
        <w:jc w:val="center"/>
        <w:rPr>
          <w:b/>
          <w:bCs/>
          <w:sz w:val="28"/>
          <w:szCs w:val="28"/>
        </w:rPr>
      </w:pPr>
      <w:r>
        <w:rPr>
          <w:rFonts w:hint="default" w:ascii="Arial" w:hAnsi="Arial" w:eastAsia="宋体" w:cs="Arial"/>
          <w:b/>
          <w:bCs/>
          <w:caps w:val="0"/>
          <w:color w:val="000000"/>
          <w:spacing w:val="0"/>
          <w:kern w:val="0"/>
          <w:sz w:val="28"/>
          <w:szCs w:val="28"/>
          <w:bdr w:val="none" w:color="auto" w:sz="0" w:space="0"/>
          <w:lang w:val="en-US" w:eastAsia="zh-CN" w:bidi="ar"/>
        </w:rPr>
        <w:t>化学品安全技术说明书 MSDS / SDS</w:t>
      </w:r>
    </w:p>
    <w:p>
      <w:pPr>
        <w:pStyle w:val="3"/>
        <w:keepNext w:val="0"/>
        <w:keepLines w:val="0"/>
        <w:widowControl/>
        <w:suppressLineNumbers w:val="0"/>
        <w:spacing w:after="302" w:afterAutospacing="0" w:line="11" w:lineRule="atLeast"/>
        <w:ind w:left="-150" w:right="-150"/>
        <w:rPr>
          <w:b/>
          <w:bCs/>
          <w:color w:val="000000"/>
          <w:sz w:val="18"/>
          <w:szCs w:val="18"/>
        </w:rPr>
      </w:pPr>
      <w:r>
        <w:rPr>
          <w:rFonts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b/>
          <w:bCs/>
          <w:i w:val="0"/>
          <w:iCs w:val="0"/>
          <w:caps w:val="0"/>
          <w:color w:val="000000"/>
          <w:spacing w:val="0"/>
          <w:sz w:val="18"/>
          <w:szCs w:val="18"/>
          <w:bdr w:val="none" w:color="auto" w:sz="0" w:space="0"/>
          <w:shd w:val="clear" w:fill="F7FBFF"/>
        </w:rPr>
        <w:t>名称</w:t>
      </w:r>
    </w:p>
    <w:tbl>
      <w:tblPr>
        <w:tblW w:w="704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4"/>
        <w:gridCol w:w="5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24" w:type="dxa"/>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中文名</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bookmarkStart w:id="0" w:name="_GoBack"/>
            <w:r>
              <w:rPr>
                <w:rFonts w:hint="default" w:ascii="宋体" w:hAnsi="宋体" w:eastAsia="宋体" w:cs="宋体"/>
                <w:kern w:val="0"/>
                <w:sz w:val="18"/>
                <w:szCs w:val="18"/>
                <w:bdr w:val="none" w:color="auto" w:sz="0" w:space="0"/>
                <w:lang w:val="en-US" w:eastAsia="zh-CN" w:bidi="ar"/>
              </w:rPr>
              <w:t>1-正丁基-1-甲基吡咯烷二(三氟甲基磺酰)酰亚胺</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24" w:type="dxa"/>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英文名</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bis(trifluoromethylsulfonyl)azanide,1-butyl-1-methylpyrrolidin-1-ium</w:t>
            </w:r>
          </w:p>
        </w:tc>
      </w:tr>
    </w:tbl>
    <w:p>
      <w:pPr>
        <w:pStyle w:val="3"/>
        <w:keepNext w:val="0"/>
        <w:keepLines w:val="0"/>
        <w:widowControl/>
        <w:suppressLineNumbers w:val="0"/>
        <w:spacing w:after="302" w:afterAutospacing="0" w:line="11" w:lineRule="atLeast"/>
        <w:ind w:left="-150" w:right="-150"/>
        <w:rPr>
          <w:b/>
          <w:bCs/>
          <w:color w:val="000000"/>
          <w:sz w:val="18"/>
          <w:szCs w:val="18"/>
        </w:rPr>
      </w:pPr>
      <w:r>
        <w:rPr>
          <w:rFonts w:hint="default"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b/>
          <w:bCs/>
          <w:i w:val="0"/>
          <w:iCs w:val="0"/>
          <w:caps w:val="0"/>
          <w:color w:val="000000"/>
          <w:spacing w:val="0"/>
          <w:sz w:val="18"/>
          <w:szCs w:val="18"/>
          <w:bdr w:val="none" w:color="auto" w:sz="0" w:space="0"/>
          <w:shd w:val="clear" w:fill="F7FBFF"/>
        </w:rPr>
        <w:t>物理化学性质</w:t>
      </w:r>
    </w:p>
    <w:tbl>
      <w:tblPr>
        <w:tblW w:w="704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00"/>
        <w:gridCol w:w="5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密度</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沸点</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190.5ºC at 760mmHg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分子式</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C</w:t>
            </w:r>
            <w:r>
              <w:rPr>
                <w:rFonts w:hint="default" w:ascii="宋体" w:hAnsi="宋体" w:eastAsia="宋体" w:cs="宋体"/>
                <w:kern w:val="0"/>
                <w:sz w:val="18"/>
                <w:szCs w:val="18"/>
                <w:bdr w:val="none" w:color="auto" w:sz="0" w:space="0"/>
                <w:vertAlign w:val="baseline"/>
                <w:lang w:val="en-US" w:eastAsia="zh-CN" w:bidi="ar"/>
              </w:rPr>
              <w:t>11</w:t>
            </w:r>
            <w:r>
              <w:rPr>
                <w:rFonts w:hint="default" w:ascii="宋体" w:hAnsi="宋体" w:eastAsia="宋体" w:cs="宋体"/>
                <w:kern w:val="0"/>
                <w:sz w:val="18"/>
                <w:szCs w:val="18"/>
                <w:bdr w:val="none" w:color="auto" w:sz="0" w:space="0"/>
                <w:lang w:val="en-US" w:eastAsia="zh-CN" w:bidi="ar"/>
              </w:rPr>
              <w:t>H</w:t>
            </w:r>
            <w:r>
              <w:rPr>
                <w:rFonts w:hint="default" w:ascii="宋体" w:hAnsi="宋体" w:eastAsia="宋体" w:cs="宋体"/>
                <w:kern w:val="0"/>
                <w:sz w:val="18"/>
                <w:szCs w:val="18"/>
                <w:bdr w:val="none" w:color="auto" w:sz="0" w:space="0"/>
                <w:vertAlign w:val="baseline"/>
                <w:lang w:val="en-US" w:eastAsia="zh-CN" w:bidi="ar"/>
              </w:rPr>
              <w:t>20</w:t>
            </w:r>
            <w:r>
              <w:rPr>
                <w:rFonts w:hint="default" w:ascii="宋体" w:hAnsi="宋体" w:eastAsia="宋体" w:cs="宋体"/>
                <w:kern w:val="0"/>
                <w:sz w:val="18"/>
                <w:szCs w:val="18"/>
                <w:bdr w:val="none" w:color="auto" w:sz="0" w:space="0"/>
                <w:lang w:val="en-US" w:eastAsia="zh-CN" w:bidi="ar"/>
              </w:rPr>
              <w:t>F</w:t>
            </w:r>
            <w:r>
              <w:rPr>
                <w:rFonts w:hint="default" w:ascii="宋体" w:hAnsi="宋体" w:eastAsia="宋体" w:cs="宋体"/>
                <w:kern w:val="0"/>
                <w:sz w:val="18"/>
                <w:szCs w:val="18"/>
                <w:bdr w:val="none" w:color="auto" w:sz="0" w:space="0"/>
                <w:vertAlign w:val="baseline"/>
                <w:lang w:val="en-US" w:eastAsia="zh-CN" w:bidi="ar"/>
              </w:rPr>
              <w:t>6</w:t>
            </w:r>
            <w:r>
              <w:rPr>
                <w:rFonts w:hint="default" w:ascii="宋体" w:hAnsi="宋体" w:eastAsia="宋体" w:cs="宋体"/>
                <w:kern w:val="0"/>
                <w:sz w:val="18"/>
                <w:szCs w:val="18"/>
                <w:bdr w:val="none" w:color="auto" w:sz="0" w:space="0"/>
                <w:lang w:val="en-US" w:eastAsia="zh-CN" w:bidi="ar"/>
              </w:rPr>
              <w:t>N</w:t>
            </w:r>
            <w:r>
              <w:rPr>
                <w:rFonts w:hint="default" w:ascii="宋体" w:hAnsi="宋体" w:eastAsia="宋体" w:cs="宋体"/>
                <w:kern w:val="0"/>
                <w:sz w:val="18"/>
                <w:szCs w:val="18"/>
                <w:bdr w:val="none" w:color="auto" w:sz="0" w:space="0"/>
                <w:vertAlign w:val="baseline"/>
                <w:lang w:val="en-US" w:eastAsia="zh-CN" w:bidi="ar"/>
              </w:rPr>
              <w:t>2</w:t>
            </w:r>
            <w:r>
              <w:rPr>
                <w:rFonts w:hint="default" w:ascii="宋体" w:hAnsi="宋体" w:eastAsia="宋体" w:cs="宋体"/>
                <w:kern w:val="0"/>
                <w:sz w:val="18"/>
                <w:szCs w:val="18"/>
                <w:bdr w:val="none" w:color="auto" w:sz="0" w:space="0"/>
                <w:lang w:val="en-US" w:eastAsia="zh-CN" w:bidi="ar"/>
              </w:rPr>
              <w:t>O</w:t>
            </w:r>
            <w:r>
              <w:rPr>
                <w:rFonts w:hint="default" w:ascii="宋体" w:hAnsi="宋体" w:eastAsia="宋体" w:cs="宋体"/>
                <w:kern w:val="0"/>
                <w:sz w:val="18"/>
                <w:szCs w:val="18"/>
                <w:bdr w:val="none" w:color="auto" w:sz="0" w:space="0"/>
                <w:vertAlign w:val="baseline"/>
                <w:lang w:val="en-US" w:eastAsia="zh-CN" w:bidi="ar"/>
              </w:rPr>
              <w:t>4</w:t>
            </w:r>
            <w:r>
              <w:rPr>
                <w:rFonts w:hint="default" w:ascii="宋体" w:hAnsi="宋体" w:eastAsia="宋体" w:cs="宋体"/>
                <w:kern w:val="0"/>
                <w:sz w:val="18"/>
                <w:szCs w:val="18"/>
                <w:bdr w:val="none" w:color="auto" w:sz="0" w:space="0"/>
                <w:lang w:val="en-US" w:eastAsia="zh-CN" w:bidi="ar"/>
              </w:rPr>
              <w:t>S</w:t>
            </w:r>
            <w:r>
              <w:rPr>
                <w:rFonts w:hint="default" w:ascii="宋体" w:hAnsi="宋体" w:eastAsia="宋体" w:cs="宋体"/>
                <w:kern w:val="0"/>
                <w:sz w:val="18"/>
                <w:szCs w:val="18"/>
                <w:bdr w:val="none" w:color="auto" w:sz="0" w:space="0"/>
                <w:vertAlign w:val="baseli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分子量</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422.408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闪点</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69ºC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精确质量</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422.076874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PSA</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85.04000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LogP</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5.20660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外观性状</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液体;Colorless to Light yellow to Light orange clear liquid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蒸汽压</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0.54mmHg at 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top"/>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折射率</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1.4216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储存条件</w:t>
            </w:r>
          </w:p>
        </w:tc>
        <w:tc>
          <w:tcPr>
            <w:tcW w:w="0" w:type="auto"/>
            <w:tcBorders>
              <w:top w:val="single" w:color="DDDDDD" w:sz="4" w:space="0"/>
            </w:tcBorders>
            <w:shd w:val="clear"/>
            <w:tcMar>
              <w:top w:w="80" w:type="dxa"/>
              <w:left w:w="80" w:type="dxa"/>
              <w:bottom w:w="80" w:type="dxa"/>
              <w:right w:w="80" w:type="dxa"/>
            </w:tcMar>
            <w:vAlign w:val="top"/>
          </w:tcPr>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保存方法：密闭，阴凉，通风干燥处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稳定性</w:t>
            </w:r>
          </w:p>
        </w:tc>
        <w:tc>
          <w:tcPr>
            <w:tcW w:w="0" w:type="auto"/>
            <w:tcBorders>
              <w:top w:val="single" w:color="DDDDDD" w:sz="4" w:space="0"/>
            </w:tcBorders>
            <w:shd w:val="clear"/>
            <w:tcMar>
              <w:top w:w="80" w:type="dxa"/>
              <w:left w:w="80" w:type="dxa"/>
              <w:bottom w:w="80" w:type="dxa"/>
              <w:right w:w="80" w:type="dxa"/>
            </w:tcMar>
            <w:vAlign w:val="top"/>
          </w:tcPr>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避氧化物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水溶解性</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可溶于：二氯甲烷,甲醇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E4F2FF" w:sz="4" w:space="0"/>
              <w:bottom w:val="single" w:color="E4F2FF" w:sz="4" w:space="0"/>
              <w:right w:val="single" w:color="E4F2FF" w:sz="4" w:space="0"/>
            </w:tcBorders>
            <w:shd w:val="clear" w:color="auto" w:fill="FFFFFF"/>
            <w:noWrap/>
            <w:tcMar>
              <w:top w:w="80" w:type="dxa"/>
              <w:left w:w="80" w:type="dxa"/>
              <w:bottom w:w="80" w:type="dxa"/>
              <w:right w:w="80" w:type="dxa"/>
            </w:tcMar>
            <w:vAlign w:val="top"/>
          </w:tcPr>
          <w:p>
            <w:pPr>
              <w:keepNext w:val="0"/>
              <w:keepLines w:val="0"/>
              <w:widowControl/>
              <w:suppressLineNumbers w:val="0"/>
              <w:spacing w:line="14" w:lineRule="atLeast"/>
              <w:jc w:val="right"/>
              <w:textAlignment w:val="auto"/>
              <w:rPr>
                <w:b/>
                <w:bCs/>
                <w:color w:val="666666"/>
                <w:sz w:val="18"/>
                <w:szCs w:val="18"/>
              </w:rPr>
            </w:pPr>
            <w:r>
              <w:rPr>
                <w:rFonts w:hint="default" w:ascii="宋体" w:hAnsi="宋体" w:eastAsia="宋体" w:cs="宋体"/>
                <w:b/>
                <w:bCs/>
                <w:color w:val="666666"/>
                <w:kern w:val="0"/>
                <w:sz w:val="18"/>
                <w:szCs w:val="18"/>
                <w:bdr w:val="none" w:color="auto" w:sz="0" w:space="0"/>
                <w:lang w:val="en-US" w:eastAsia="zh-CN" w:bidi="ar"/>
              </w:rPr>
              <w:t>更多</w:t>
            </w:r>
          </w:p>
        </w:tc>
        <w:tc>
          <w:tcPr>
            <w:tcW w:w="0" w:type="auto"/>
            <w:tcBorders>
              <w:top w:val="single" w:color="DDDDDD" w:sz="4" w:space="0"/>
            </w:tcBorders>
            <w:shd w:val="clear"/>
            <w:tcMar>
              <w:top w:w="80" w:type="dxa"/>
              <w:left w:w="80" w:type="dxa"/>
              <w:bottom w:w="80" w:type="dxa"/>
              <w:right w:w="80" w:type="dxa"/>
            </w:tcMar>
            <w:vAlign w:val="top"/>
          </w:tcPr>
          <w:p>
            <w:pPr>
              <w:keepNext w:val="0"/>
              <w:keepLines w:val="0"/>
              <w:widowControl/>
              <w:suppressLineNumbers w:val="0"/>
              <w:wordWrap w:val="0"/>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1. 性状：无色液体 2. 密度（g/mL）：1.4</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3. 相对蒸汽密度（g/mL,空气=1）未确定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4. 熔点（ºC）：未确定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5. 沸点（ºC,常压）：未确定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6. 沸点（ºC60mmHg）：未确定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7. 折射率：未确定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8. 闪点（º C）：未确定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9. 比旋光度（º）：未确定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10. 自燃点或引燃温度（ºC）：未确定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11. 蒸气压（kPa,25ºC）：未确定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12. 饱和蒸气压（kPa,60ºC）：未确定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13. 燃烧热（KJ/mol）：未确定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14. 临界温度（ºC）：未确定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15. 临界压力（KPa）：未确定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16. 油水（辛醇/水）分配系数的对数值：未确定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17. 爆炸上限（%,V/V）：未确定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18. 爆炸下限（%,V/V）：未确定</w:t>
            </w:r>
          </w:p>
          <w:p>
            <w:pPr>
              <w:pStyle w:val="8"/>
              <w:keepNext w:val="0"/>
              <w:keepLines w:val="0"/>
              <w:widowControl/>
              <w:suppressLineNumbers w:val="0"/>
              <w:wordWrap w:val="0"/>
              <w:spacing w:before="0" w:beforeAutospacing="0" w:after="100" w:afterAutospacing="0" w:line="14" w:lineRule="atLeast"/>
              <w:ind w:left="0" w:right="0"/>
              <w:rPr>
                <w:sz w:val="18"/>
                <w:szCs w:val="18"/>
              </w:rPr>
            </w:pPr>
            <w:r>
              <w:rPr>
                <w:sz w:val="18"/>
                <w:szCs w:val="18"/>
              </w:rPr>
              <w:t>19. 溶解性：未确定</w:t>
            </w:r>
          </w:p>
        </w:tc>
      </w:tr>
    </w:tbl>
    <w:p>
      <w:pPr>
        <w:pStyle w:val="3"/>
        <w:keepNext w:val="0"/>
        <w:keepLines w:val="0"/>
        <w:widowControl/>
        <w:suppressLineNumbers w:val="0"/>
        <w:spacing w:after="302" w:afterAutospacing="0" w:line="11" w:lineRule="atLeast"/>
        <w:ind w:left="-150" w:right="-150"/>
        <w:rPr>
          <w:b/>
          <w:bCs/>
          <w:color w:val="000000"/>
          <w:sz w:val="18"/>
          <w:szCs w:val="18"/>
        </w:rPr>
      </w:pPr>
      <w:r>
        <w:rPr>
          <w:rFonts w:hint="default" w:ascii="Glyphicons Halflings" w:hAnsi="Glyphicons Halflings" w:eastAsia="Glyphicons Halflings" w:cs="Glyphicons Halflings"/>
          <w:i w:val="0"/>
          <w:iCs w:val="0"/>
          <w:caps w:val="0"/>
          <w:color w:val="0CC0F3"/>
          <w:spacing w:val="0"/>
          <w:sz w:val="18"/>
          <w:szCs w:val="18"/>
          <w:bdr w:val="none" w:color="auto" w:sz="0" w:space="0"/>
          <w:shd w:val="clear" w:fill="F7FBFF"/>
        </w:rPr>
        <w:t> </w:t>
      </w:r>
      <w:r>
        <w:rPr>
          <w:b/>
          <w:bCs/>
          <w:i w:val="0"/>
          <w:iCs w:val="0"/>
          <w:caps w:val="0"/>
          <w:color w:val="000000"/>
          <w:spacing w:val="0"/>
          <w:sz w:val="18"/>
          <w:szCs w:val="18"/>
          <w:bdr w:val="none" w:color="auto" w:sz="0" w:space="0"/>
          <w:shd w:val="clear" w:fill="F7FBFF"/>
        </w:rPr>
        <w:t>MSDS</w:t>
      </w:r>
    </w:p>
    <w:tbl>
      <w:tblPr>
        <w:tblW w:w="704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FFFFFF" w:sz="4" w:space="0"/>
              <w:left w:val="single" w:color="FFFFFF" w:sz="4" w:space="0"/>
              <w:bottom w:val="single" w:color="FFFFFF" w:sz="4" w:space="0"/>
              <w:right w:val="single" w:color="FFFFFF" w:sz="4" w:space="0"/>
            </w:tcBorders>
            <w:shd w:val="clear"/>
            <w:tcMar>
              <w:top w:w="50" w:type="dxa"/>
              <w:left w:w="50" w:type="dxa"/>
              <w:bottom w:w="50" w:type="dxa"/>
              <w:right w:w="5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14" w:lineRule="atLeast"/>
              <w:jc w:val="left"/>
              <w:textAlignment w:val="top"/>
              <w:rPr>
                <w:sz w:val="18"/>
                <w:szCs w:val="18"/>
              </w:rPr>
            </w:pPr>
            <w:r>
              <w:rPr>
                <w:rFonts w:hint="default" w:ascii="宋体" w:hAnsi="宋体" w:eastAsia="宋体" w:cs="宋体"/>
                <w:b/>
                <w:bCs/>
                <w:kern w:val="0"/>
                <w:sz w:val="18"/>
                <w:szCs w:val="18"/>
                <w:bdr w:val="none" w:color="auto" w:sz="0" w:space="0"/>
                <w:lang w:val="en-US" w:eastAsia="zh-CN" w:bidi="ar"/>
              </w:rPr>
              <w:t>1.1 产品标识符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 1-丁基-1-甲基吡咯烷双(三氟甲磺酰)亚胺</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产品名称</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 鉴别的其他方法</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1.3 有关的确定了的物质或混合物的用途和建议不适合的用途</w:t>
            </w:r>
          </w:p>
          <w:p>
            <w:pPr>
              <w:keepNext w:val="0"/>
              <w:keepLines w:val="0"/>
              <w:widowControl/>
              <w:suppressLineNumbers w:val="0"/>
              <w:pBdr>
                <w:top w:val="none" w:color="auto" w:sz="0" w:space="0"/>
                <w:left w:val="none" w:color="auto" w:sz="0" w:space="0"/>
                <w:bottom w:val="none" w:color="auto" w:sz="0" w:space="0"/>
                <w:right w:val="none" w:color="auto" w:sz="0" w:space="0"/>
              </w:pBdr>
              <w:spacing w:line="14" w:lineRule="atLeast"/>
              <w:jc w:val="left"/>
              <w:textAlignment w:val="top"/>
              <w:rPr>
                <w:sz w:val="18"/>
                <w:szCs w:val="18"/>
              </w:rPr>
            </w:pPr>
            <w:r>
              <w:rPr>
                <w:rFonts w:hint="default" w:ascii="宋体" w:hAnsi="宋体" w:eastAsia="宋体" w:cs="宋体"/>
                <w:kern w:val="0"/>
                <w:sz w:val="18"/>
                <w:szCs w:val="18"/>
                <w:bdr w:val="none" w:color="auto" w:sz="0" w:space="0"/>
                <w:lang w:val="en-US" w:eastAsia="zh-CN" w:bidi="ar"/>
              </w:rPr>
              <w:t>仅供科研用途，不作为药物、家庭备用药或其它用途。</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59"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模块2. 危险性概述</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2.1 GHS分类</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皮肤刺激 (类别2)</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眼刺激 (类别2A)</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特异性靶器官系统毒性（一次接触） (类别3)</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2.2 GHS 标记要素，包括预防性的陈述</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象形图</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警示词警告</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危险申明</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H315造成皮肤刺激。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H319造成严重眼刺激。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H335可能引起呼吸道刺激。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警告申明</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预防</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P261避免吸入粉尘/烟/气体/烟雾/蒸气/喷雾.</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P264操作后彻底清洁皮肤。</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P271只能在室外或通风良好之处使用。</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P280穿戴防护手套/ 眼保护罩/ 面部保护罩。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措施</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P302 + P352如与皮肤接触，用大量肥皂和水冲洗受感染部位.</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P304 + P340如吸入，将患者移至新鲜空气处并保持呼吸顺畅的姿势休息.</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P305 + P351 + P338如与眼睛接触，用水缓慢温和地冲洗几分钟。如戴隐形眼镜并可方便地取</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出，取出隐形眼镜，然后继续冲洗.</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P312如感觉不适，呼救中毒控制中心或医生.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P321具体治疗(见本标签上提供的急救指导)。</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P332 + P313如发生皮肤刺激：求医/ 就诊。</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P337 + P313如仍觉眼睛刺激：求医/就诊。 如仍觉眼睛刺激：求医/就诊.</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P362脱掉沾染的衣服，清洗后方可重新使用。</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储存</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P403 + P233存放于通风良的地方。 保持容器密闭。</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P405存放处须加锁。</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处理</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P501将内容物/ 容器处理到得到批准的废物处理厂。</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当心 - 物质尚未完全测试。</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2.3 其它危害物 - 无</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0"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模块3. 成分/组成信息</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3.1 物 质</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 C11H20F6N2O4S2</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分子式</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 422.41 g/mol</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分子量</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组分浓度或浓度范围</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1-Butyl-1-methylpyrrolidinium bis(trifluoromethylsulfonyl)imide</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CAS 号223437-11-4</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1"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模块4. 急救措施</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4.1 必要的急救措施描述</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一般的建议</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请教医生。 出示此安全技术说明书给到现场的医生看。</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吸入</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如果吸入,请将患者移到新鲜空气处。 如果停止了呼吸,给于人工呼吸。 请教医生。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皮肤接触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用肥皂和大量的水冲洗。 请教医生。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眼睛接触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用大量水彻底冲洗至少15分钟并请教医生。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食入</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切勿给失去知觉者从嘴里喂食任何东西。 用水漱口。 请教医生。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4.2 主要症状和影响，急性和迟发效应</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据我们所知，此化学，物理和毒性性质尚未经完整的研究。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4.3 及时的医疗处理和所需的特殊处理的说明和指示</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2"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模块5. 消防措施</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5.1 灭火介质</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灭火方法及灭火剂</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用水雾,耐醇泡沫,干粉或二氧化碳灭火。</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5.2 源于此物质或混合物的特别的危害</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碳氧化物, 氮氧化物, 硫氧化物, 氟化氢</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5.3 给消防员的建议</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如必要的话,戴自给式呼吸器去救火。</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5.4 进一步信息</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3"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模块6. 泄露应急处理</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6.1 人员的预防,防护设备和紧急处理程序</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使用个人防护设备。 防止吸入蒸汽、气雾或气体。 保证充分的通风。 将人员撤离到安全区域。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6.2 环境保护措施</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不要让产物进入下水道。</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6.3 抑制和清除溢出物的方法和材料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用惰性吸附材料吸收并当作危险废品处理。 存放进适当的闭口容器中待处理。</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6.4 参考其他部分</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丢弃处理请参阅第13节。</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4"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模块7. 操作处置与储存</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7.1 安全操作的注意事项</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避免接触皮肤和眼睛。 防止吸入蒸汽和烟雾。</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7.2 安全储存的条件,包括任何不兼容性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贮存在阴凉处。 容器保持紧闭，储存在干燥通风处。</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打开了的容器必须仔细重新封口并保持竖放位置以防止泄漏。</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充气保存 对湿度敏感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7.3 特定用途</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5"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模块8. 接触控制和个体防护</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8.1 容许浓度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最高容许浓度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没有已知的国家规定的暴露极限。</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8.2 暴露控制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适当的技术控制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按照良好工业和安全规范操作。 休息前和工作结束时洗手。</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个体防护设备</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眼/面保护</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带有防护边罩的安全眼镜符合 EN166要求请使用经官方标准如NIOSH (美国) 或 EN 166(欧盟)</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检测与批准的设备防护眼部。</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皮肤保护</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戴手套取 手套在使用前必须受检查。</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请使用合适的方法脱除手套(不要接触手套外部表面),避免任何皮肤部位接触此产品.</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使用后请将被污染过的手套根据相关法律法规和有效的实验室规章程序谨慎处理. 请清洗并吹干双手</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所选择的保护手套必须符合EU的89/686/EEC规定和从它衍生出来的EN 376标准。</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身体保护</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防渗透的衣服, 防护设备的类型必须根据特定工作场所中的危险物的浓度和含量来选择。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呼吸系统防护</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如危险性评测显示需要使用空气净化的防毒面具，请使用全面罩式多功能防毒面具（US）或ABEK型</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（EN</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14387）防毒面具筒作为工程控制的候补。如果防毒面具是保护的唯一方式，则使用全面罩式送风防</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毒面具。 呼吸器使用经过测试并通过政府标准如NIOSH（US）或CEN（EU）的呼吸器和零件。</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6"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模块9. 理化特性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9.1 基本的理化特性的信息</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a) 外观与性状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形状: 液体</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颜色: 无色</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b) 气味</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c) 气味阈值</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d) pH值</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8.6 在 10 g/l 在 24 °C</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e) 熔点/凝固点</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f) 起始沸点和沸程</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g) 闪点</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h) 蒸发速率</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i) 易燃性(固体,气体)</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j) 高的/低的燃烧性或爆炸性限度 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k) 蒸汽压</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l) 蒸汽密度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m) 相对密度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n) 水溶性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o) n-辛醇/水分配系数</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p) 自燃温度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q) 分解温度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r) 粘度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7"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模块10. 稳定性和反应活性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10.1 反应性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10.2 稳定性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10.3 危险反应的可能性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10.4 应避免的条件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10.5 不兼容的材料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强氧化剂</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10.6 危险的分解产物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其它分解产物 - 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8"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模块11. 毒理学资料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11.1 毒理学影响的信息</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急性毒性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皮肤刺激或腐蚀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眼睛刺激或腐蚀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呼吸道或皮肤过敏</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生殖细胞突变性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致癌性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IARC:</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此产品中没有大于或等于 0。1%含量的组分被 IARC鉴别为可能的或肯定的人类致癌物。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生殖毒性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特异性靶器官系统毒性（一次接触）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吸入 - 可能引起呼吸道刺激。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特异性靶器官系统毒性（反复接触）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吸入危险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潜在的健康影响</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吸入吸入可能有害。 引起呼吸道刺激。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摄入如服入是有害的。</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皮肤如果通过皮肤吸收可能是有害的。 造成皮肤刺激。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眼睛造成严重眼刺激。</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接触后的征兆和症状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据我们所知，此化学，物理和毒性性质尚未经完整的研究。</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附加说明</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化学物质毒性作用登记: 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69"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模块12. 生态学资料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12.1 生态毒性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12.2 持久存留性和降解性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12.3 潜在的生物蓄积性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12.4 土壤中的迁移性</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12.5 PBT 和 vPvB的结果评价</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12.6 其它不利的影响</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70"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模块13. 废弃处置</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13.1 废物处理方法</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产品</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将剩余的和未回收的溶液交给处理公司。</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受污染的容器和包装</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作为未用过的产品弃置。</w:t>
            </w:r>
          </w:p>
          <w:p>
            <w:pPr>
              <w:keepNext w:val="0"/>
              <w:keepLines w:val="0"/>
              <w:widowControl/>
              <w:suppressLineNumbers w:val="0"/>
              <w:pBdr>
                <w:top w:val="single" w:color="EEEEEE" w:sz="4" w:space="0"/>
                <w:left w:val="none" w:color="auto" w:sz="0" w:space="0"/>
                <w:bottom w:val="none" w:color="auto" w:sz="0" w:space="0"/>
                <w:right w:val="none" w:color="auto" w:sz="0" w:space="0"/>
              </w:pBdr>
              <w:shd w:val="clear" w:fill="FFFFFF"/>
              <w:spacing w:before="50" w:beforeAutospacing="0" w:after="50" w:afterAutospacing="0" w:line="14" w:lineRule="atLeast"/>
              <w:rPr>
                <w:sz w:val="18"/>
                <w:szCs w:val="18"/>
              </w:rPr>
            </w:pPr>
            <w:r>
              <w:rPr>
                <w:sz w:val="18"/>
                <w:szCs w:val="18"/>
              </w:rPr>
              <w:pict>
                <v:rect id="_x0000_i1071" o:spt="1" style="height:1.5pt;width:35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jc w:val="left"/>
              <w:rPr>
                <w:sz w:val="18"/>
                <w:szCs w:val="18"/>
              </w:rPr>
            </w:pPr>
            <w:r>
              <w:rPr>
                <w:rStyle w:val="11"/>
                <w:rFonts w:hint="default" w:ascii="宋体" w:hAnsi="宋体" w:eastAsia="宋体" w:cs="宋体"/>
                <w:b/>
                <w:bCs/>
                <w:kern w:val="0"/>
                <w:sz w:val="18"/>
                <w:szCs w:val="18"/>
                <w:bdr w:val="none" w:color="auto" w:sz="0" w:space="0"/>
                <w:lang w:val="en-US" w:eastAsia="zh-CN" w:bidi="ar"/>
              </w:rPr>
              <w:t>模块14. 运输信息</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14.1 联合国危险货物编号</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欧洲陆运危规: -国际海运危规: -国际空运危规: -</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14.2 联合国（UN）规定的名称</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欧洲陆运危规: 非危险货物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国际海运危规: 非危险货物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国际空运危规: 非危险货物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14.3 运输危险类别</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欧洲陆运危规: -国际海运危规: -国际空运危规: -</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14.4 包裹组</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欧洲陆运危规: -国际海运危规: -国际空运危规: -</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14.5 环境危险</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欧洲陆运危规: 否国际海运危规 海运污染物: 否国际空运危规: 否</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b/>
                <w:bCs/>
                <w:kern w:val="0"/>
                <w:sz w:val="18"/>
                <w:szCs w:val="18"/>
                <w:bdr w:val="none" w:color="auto" w:sz="0" w:space="0"/>
                <w:lang w:val="en-US" w:eastAsia="zh-CN" w:bidi="ar"/>
              </w:rPr>
              <w:t>14.6 对使用者的特别提醒</w:t>
            </w:r>
            <w:r>
              <w:rPr>
                <w:rFonts w:hint="default" w:ascii="宋体" w:hAnsi="宋体" w:eastAsia="宋体" w:cs="宋体"/>
                <w:kern w:val="0"/>
                <w:sz w:val="18"/>
                <w:szCs w:val="18"/>
                <w:bdr w:val="none" w:color="auto" w:sz="0" w:space="0"/>
                <w:lang w:val="en-US" w:eastAsia="zh-CN" w:bidi="ar"/>
              </w:rPr>
              <w:br w:type="textWrapping"/>
            </w:r>
            <w:r>
              <w:rPr>
                <w:rFonts w:hint="default" w:ascii="宋体" w:hAnsi="宋体" w:eastAsia="宋体" w:cs="宋体"/>
                <w:kern w:val="0"/>
                <w:sz w:val="18"/>
                <w:szCs w:val="18"/>
                <w:bdr w:val="none" w:color="auto" w:sz="0" w:space="0"/>
                <w:lang w:val="en-US" w:eastAsia="zh-CN" w:bidi="ar"/>
              </w:rPr>
              <w:t>无数据资料</w:t>
            </w:r>
          </w:p>
        </w:tc>
      </w:tr>
    </w:tbl>
    <w:p>
      <w:pPr>
        <w:rPr>
          <w:rFonts w:hint="default"/>
          <w:sz w:val="18"/>
          <w:szCs w:val="18"/>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00172A27"/>
    <w:rsid w:val="03473236"/>
    <w:rsid w:val="04AB1614"/>
    <w:rsid w:val="0880386C"/>
    <w:rsid w:val="0B6D34D0"/>
    <w:rsid w:val="11027246"/>
    <w:rsid w:val="1DFF432E"/>
    <w:rsid w:val="1E241162"/>
    <w:rsid w:val="23ED140C"/>
    <w:rsid w:val="2DE95295"/>
    <w:rsid w:val="3C9A513B"/>
    <w:rsid w:val="41801BCC"/>
    <w:rsid w:val="4771093F"/>
    <w:rsid w:val="4E1D43AD"/>
    <w:rsid w:val="577472CD"/>
    <w:rsid w:val="67945075"/>
    <w:rsid w:val="6E3631FD"/>
    <w:rsid w:val="733518E1"/>
    <w:rsid w:val="74EE3C03"/>
    <w:rsid w:val="7F872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cs="宋体"/>
      <w:b/>
      <w:kern w:val="0"/>
      <w:sz w:val="36"/>
      <w:szCs w:val="36"/>
      <w:lang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unhideWhenUsed/>
    <w:qFormat/>
    <w:uiPriority w:val="0"/>
    <w:rPr>
      <w:rFonts w:hint="default"/>
      <w:sz w:val="24"/>
      <w:szCs w:val="24"/>
    </w:rPr>
  </w:style>
  <w:style w:type="table" w:default="1" w:styleId="9">
    <w:name w:val="Normal Table"/>
    <w:qFormat/>
    <w:uiPriority w:val="0"/>
    <w:tblPr>
      <w:tblCellMar>
        <w:top w:w="0" w:type="dxa"/>
        <w:left w:w="108" w:type="dxa"/>
        <w:bottom w:w="0" w:type="dxa"/>
        <w:right w:w="108" w:type="dxa"/>
      </w:tblCellMar>
    </w:tblPr>
  </w:style>
  <w:style w:type="paragraph" w:styleId="8">
    <w:name w:val="Normal (Web)"/>
    <w:basedOn w:val="1"/>
    <w:unhideWhenUsed/>
    <w:qFormat/>
    <w:uiPriority w:val="0"/>
    <w:pPr>
      <w:spacing w:before="100" w:beforeAutospacing="1" w:after="100" w:afterAutospacing="1"/>
      <w:jc w:val="left"/>
    </w:pPr>
    <w:rPr>
      <w:rFonts w:hint="default"/>
      <w:kern w:val="0"/>
      <w:sz w:val="24"/>
      <w:szCs w:val="24"/>
      <w:lang w:bidi="ar"/>
    </w:rPr>
  </w:style>
  <w:style w:type="character" w:styleId="11">
    <w:name w:val="Strong"/>
    <w:basedOn w:val="10"/>
    <w:unhideWhenUsed/>
    <w:qFormat/>
    <w:uiPriority w:val="0"/>
    <w:rPr>
      <w:rFonts w:hint="default"/>
      <w:b/>
      <w:sz w:val="24"/>
      <w:szCs w:val="24"/>
    </w:rPr>
  </w:style>
  <w:style w:type="character" w:styleId="12">
    <w:name w:val="Hyperlink"/>
    <w:basedOn w:val="10"/>
    <w:unhideWhenUsed/>
    <w:qFormat/>
    <w:uiPriority w:val="0"/>
    <w:rPr>
      <w:rFonts w:hint="default"/>
      <w:color w:val="0000FF"/>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3053</Words>
  <Characters>4027</Characters>
  <TotalTime>390</TotalTime>
  <ScaleCrop>false</ScaleCrop>
  <LinksUpToDate>false</LinksUpToDate>
  <CharactersWithSpaces>4276</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2023-03-11T00:54:00Z</dcterms:created>
  <dc:creator>Administrator</dc:creator>
  <cp:lastModifiedBy>Administrator</cp:lastModifiedBy>
  <dcterms:modified xsi:type="dcterms:W3CDTF">2023-03-15T05:11:54Z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E20603CD7CD04DD4B3A895CA02BA914D</vt:lpwstr>
  </property>
</Properties>
</file>