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120" w:lineRule="auto"/>
        <w:jc w:val="center"/>
        <w:rPr>
          <w:rFonts w:ascii="Arial" w:hAnsi="Arial" w:eastAsia="黑体;SimHei" w:cs="Arial"/>
          <w:b/>
          <w:bCs/>
        </w:rPr>
      </w:pPr>
      <w:r>
        <w:rPr>
          <w:rFonts w:ascii="Arial" w:hAnsi="Arial" w:eastAsia="黑体;SimHei" w:cs="Arial"/>
          <w:b/>
          <w:bCs/>
        </w:rPr>
        <w:t>物质安全资料表</w:t>
      </w:r>
    </w:p>
    <w:p>
      <w:pPr>
        <w:pStyle w:val="5"/>
        <w:jc w:val="center"/>
      </w:pPr>
      <w:r>
        <w:rPr>
          <w:rFonts w:ascii="Arial" w:hAnsi="Arial" w:eastAsia="黑体;SimHei" w:cs="Arial"/>
          <w:b/>
          <w:bCs/>
        </w:rPr>
        <w:t>(MSDS)</w:t>
      </w:r>
      <w:r>
        <w:rPr>
          <w:rFonts w:ascii="Arial" w:hAnsi="Arial" w:eastAsia="黑体;SimHei" w:cs="Arial"/>
        </w:rPr>
        <w:t>　</w:t>
      </w:r>
    </w:p>
    <w:p>
      <w:pPr>
        <w:pStyle w:val="5"/>
        <w:spacing w:line="60" w:lineRule="auto"/>
        <w:jc w:val="both"/>
      </w:pPr>
      <w:r>
        <w:rPr>
          <w:rFonts w:ascii="Arial" w:hAnsi="Arial" w:eastAsia="黑体;SimHei" w:cs="Arial"/>
          <w:b/>
          <w:bCs/>
          <w:u w:val="single"/>
        </w:rPr>
        <w:t>1物品及厂商资料</w:t>
      </w:r>
      <w:r>
        <w:rPr>
          <w:rFonts w:ascii="Arial" w:hAnsi="Arial" w:eastAsia="黑体;SimHei" w:cs="Arial"/>
          <w:u w:val="single"/>
        </w:rPr>
        <w:t>（product and company identification）</w:t>
      </w:r>
    </w:p>
    <w:p>
      <w:pPr>
        <w:pStyle w:val="5"/>
        <w:spacing w:line="60" w:lineRule="auto"/>
        <w:rPr>
          <w:rFonts w:hint="eastAsia" w:ascii="Arial" w:hAnsi="Arial" w:eastAsia="黑体;SimHei" w:cs="Arial"/>
          <w:sz w:val="24"/>
          <w:szCs w:val="24"/>
          <w:lang w:val="en-US" w:eastAsia="zh-CN"/>
        </w:rPr>
      </w:pPr>
      <w:r>
        <w:rPr>
          <w:rFonts w:ascii="Arial" w:hAnsi="Arial" w:eastAsia="黑体;SimHei" w:cs="Arial"/>
          <w:sz w:val="21"/>
          <w:szCs w:val="21"/>
        </w:rPr>
        <w:t>物品中文名称</w:t>
      </w:r>
      <w:r>
        <w:rPr>
          <w:rFonts w:hint="eastAsia" w:ascii="Arial" w:hAnsi="Arial" w:eastAsia="黑体;SimHei" w:cs="Arial"/>
          <w:sz w:val="21"/>
          <w:szCs w:val="21"/>
          <w:lang w:val="en-US" w:eastAsia="zh-CN"/>
        </w:rPr>
        <w:t>:无患子</w:t>
      </w:r>
      <w:r>
        <w:rPr>
          <w:rFonts w:hint="eastAsia" w:ascii="Arial" w:hAnsi="Arial" w:eastAsia="黑体;SimHei" w:cs="Arial"/>
          <w:sz w:val="21"/>
          <w:szCs w:val="21"/>
          <w:lang w:eastAsia="zh-CN"/>
        </w:rPr>
        <w:t>提取物</w:t>
      </w:r>
    </w:p>
    <w:p>
      <w:pPr>
        <w:pStyle w:val="5"/>
        <w:spacing w:line="60" w:lineRule="auto"/>
        <w:rPr>
          <w:rStyle w:val="8"/>
          <w:rFonts w:hint="eastAsia" w:ascii="Arial" w:hAnsi="Arial" w:eastAsia="黑体;SimHei" w:cs="Arial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Fonts w:ascii="Arial" w:hAnsi="Arial" w:eastAsia="黑体;SimHei" w:cs="Arial"/>
          <w:sz w:val="21"/>
          <w:szCs w:val="21"/>
        </w:rPr>
        <w:t>物品英文名称：</w:t>
      </w:r>
      <w:r>
        <w:rPr>
          <w:rFonts w:hint="eastAsia" w:ascii="Arial" w:hAnsi="Arial" w:eastAsia="黑体;SimHei" w:cs="Arial"/>
          <w:spacing w:val="8"/>
          <w:sz w:val="21"/>
          <w:szCs w:val="21"/>
          <w:lang w:val="en-US" w:eastAsia="zh-CN"/>
        </w:rPr>
        <w:t>Chinese soapberry seed</w:t>
      </w:r>
    </w:p>
    <w:p>
      <w:pPr>
        <w:pStyle w:val="5"/>
        <w:spacing w:line="360" w:lineRule="auto"/>
        <w:rPr>
          <w:rFonts w:hint="eastAsia" w:ascii="Arial" w:hAnsi="Arial" w:eastAsia="黑体;SimHei" w:cs="Arial"/>
          <w:sz w:val="21"/>
          <w:szCs w:val="21"/>
          <w:lang w:val="en-US" w:eastAsia="zh-CN"/>
        </w:rPr>
      </w:pPr>
      <w:r>
        <w:rPr>
          <w:rFonts w:ascii="Arial" w:hAnsi="Arial" w:eastAsia="黑体;SimHei" w:cs="Arial"/>
          <w:sz w:val="21"/>
          <w:szCs w:val="21"/>
        </w:rPr>
        <w:t>物品生产厂商名称及紧急联系电话：</w:t>
      </w:r>
      <w:r>
        <w:rPr>
          <w:rFonts w:hint="eastAsia" w:ascii="Arial" w:hAnsi="Arial" w:eastAsia="黑体;SimHei" w:cs="Arial"/>
          <w:sz w:val="21"/>
          <w:szCs w:val="21"/>
          <w:lang w:eastAsia="zh-CN"/>
        </w:rPr>
        <w:t>陕西新天域生物科技</w:t>
      </w:r>
      <w:r>
        <w:rPr>
          <w:rFonts w:ascii="Arial" w:hAnsi="Arial" w:eastAsia="黑体;SimHei" w:cs="Arial"/>
          <w:sz w:val="21"/>
          <w:szCs w:val="21"/>
        </w:rPr>
        <w:t>有限公司+86 029-3256</w:t>
      </w:r>
      <w:r>
        <w:rPr>
          <w:rFonts w:hint="eastAsia" w:ascii="Arial" w:hAnsi="Arial" w:eastAsia="黑体;SimHei" w:cs="Arial"/>
          <w:sz w:val="21"/>
          <w:szCs w:val="21"/>
          <w:lang w:val="en-US" w:eastAsia="zh-CN"/>
        </w:rPr>
        <w:t>5555</w:t>
      </w:r>
    </w:p>
    <w:p>
      <w:pPr>
        <w:pStyle w:val="5"/>
        <w:spacing w:line="120" w:lineRule="auto"/>
        <w:rPr>
          <w:rFonts w:ascii="Arial" w:hAnsi="Arial" w:eastAsia="黑体;SimHei" w:cs="Arial"/>
          <w:bCs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2.成分/组成信息</w:t>
      </w:r>
      <w:r>
        <w:rPr>
          <w:rFonts w:ascii="Arial" w:hAnsi="Arial" w:eastAsia="黑体;SimHei" w:cs="Arial"/>
          <w:u w:val="single"/>
        </w:rPr>
        <w:t>（composition/information on ingredients)</w:t>
      </w:r>
    </w:p>
    <w:p>
      <w:pPr>
        <w:pStyle w:val="5"/>
        <w:spacing w:line="120" w:lineRule="auto"/>
        <w:jc w:val="both"/>
        <w:rPr>
          <w:rFonts w:hint="eastAsia" w:eastAsia="黑体;SimHei"/>
          <w:lang w:eastAsia="zh-CN"/>
        </w:rPr>
      </w:pPr>
      <w:r>
        <w:rPr>
          <w:rFonts w:ascii="Arial" w:hAnsi="Arial" w:eastAsia="黑体;SimHei" w:cs="Arial"/>
          <w:sz w:val="21"/>
          <w:szCs w:val="21"/>
        </w:rPr>
        <w:t>物品成分:</w:t>
      </w:r>
      <w:r>
        <w:rPr>
          <w:rFonts w:hint="eastAsia" w:ascii="Arial" w:hAnsi="Arial" w:eastAsia="黑体;SimHei" w:cs="Arial"/>
          <w:sz w:val="21"/>
          <w:szCs w:val="21"/>
          <w:lang w:eastAsia="zh-CN"/>
        </w:rPr>
        <w:t>无患子提取物</w:t>
      </w:r>
    </w:p>
    <w:p>
      <w:pPr>
        <w:pStyle w:val="5"/>
        <w:spacing w:line="120" w:lineRule="auto"/>
        <w:rPr>
          <w:rFonts w:hint="default" w:eastAsia="黑体;SimHei"/>
          <w:lang w:val="en-US" w:eastAsia="zh-CN"/>
        </w:rPr>
      </w:pPr>
      <w:r>
        <w:rPr>
          <w:rFonts w:ascii="Arial" w:hAnsi="Arial" w:eastAsia="黑体;SimHei" w:cs="Arial"/>
          <w:sz w:val="21"/>
          <w:szCs w:val="21"/>
        </w:rPr>
        <w:t>成分百分比（%）</w:t>
      </w:r>
      <w:r>
        <w:rPr>
          <w:rFonts w:hint="eastAsia" w:ascii="Arial" w:hAnsi="Arial" w:eastAsia="黑体;SimHei" w:cs="Arial"/>
          <w:sz w:val="21"/>
          <w:szCs w:val="21"/>
          <w:lang w:val="en-US" w:eastAsia="zh-CN"/>
        </w:rPr>
        <w:t>10:1</w:t>
      </w:r>
    </w:p>
    <w:p>
      <w:pPr>
        <w:pStyle w:val="5"/>
        <w:spacing w:line="60" w:lineRule="auto"/>
      </w:pPr>
      <w:r>
        <w:rPr>
          <w:rFonts w:ascii="Arial" w:hAnsi="Arial" w:eastAsia="黑体;SimHei" w:cs="Arial"/>
          <w:b/>
          <w:bCs/>
          <w:u w:val="single"/>
        </w:rPr>
        <w:t>3. 危害人体概述</w:t>
      </w:r>
      <w:r>
        <w:rPr>
          <w:rFonts w:ascii="Arial" w:hAnsi="Arial" w:eastAsia="黑体;SimHei" w:cs="Arial"/>
          <w:u w:val="single"/>
        </w:rPr>
        <w:t>（hazards summarizing）　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sz w:val="21"/>
          <w:szCs w:val="21"/>
        </w:rPr>
        <w:t>侵入人体途径：粉尘吸入危害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sz w:val="21"/>
          <w:szCs w:val="21"/>
        </w:rPr>
        <w:t>健康危害：吸入会导致</w:t>
      </w:r>
      <w:r>
        <w:rPr>
          <w:rFonts w:hint="eastAsia" w:ascii="Arial" w:hAnsi="Arial" w:eastAsia="黑体;SimHei" w:cs="Arial"/>
          <w:sz w:val="21"/>
          <w:szCs w:val="21"/>
        </w:rPr>
        <w:t>鼻粘膜受损，</w:t>
      </w:r>
      <w:r>
        <w:rPr>
          <w:rFonts w:ascii="Arial" w:hAnsi="Arial" w:eastAsia="黑体;SimHei" w:cs="Arial"/>
          <w:sz w:val="21"/>
          <w:szCs w:val="21"/>
        </w:rPr>
        <w:t xml:space="preserve">人体防御功能失去平衡，清除功能受损，而使粉尘在呼吸道内过量沉积，损伤呼吸道的结构，导致肺组织损伤，造成肺组织纤维化。 </w:t>
      </w:r>
    </w:p>
    <w:p>
      <w:pPr>
        <w:pStyle w:val="5"/>
        <w:spacing w:line="120" w:lineRule="auto"/>
        <w:rPr>
          <w:rFonts w:ascii="Arial" w:hAnsi="Arial" w:eastAsia="黑体;SimHei" w:cs="Arial"/>
          <w:u w:val="single"/>
        </w:rPr>
      </w:pPr>
      <w:r>
        <w:rPr>
          <w:rFonts w:ascii="Arial" w:hAnsi="Arial" w:eastAsia="黑体;SimHei" w:cs="Arial"/>
          <w:sz w:val="21"/>
          <w:szCs w:val="21"/>
        </w:rPr>
        <w:t> </w:t>
      </w:r>
      <w:r>
        <w:rPr>
          <w:rFonts w:ascii="Arial" w:hAnsi="Arial" w:eastAsia="黑体;SimHei" w:cs="Arial"/>
          <w:b/>
          <w:bCs/>
          <w:u w:val="single"/>
        </w:rPr>
        <w:t>4.急救措施</w:t>
      </w:r>
      <w:r>
        <w:rPr>
          <w:rFonts w:ascii="Arial" w:hAnsi="Arial" w:eastAsia="黑体;SimHei" w:cs="Arial"/>
          <w:u w:val="single"/>
        </w:rPr>
        <w:t>（first-aid measures）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Cs/>
          <w:sz w:val="21"/>
          <w:szCs w:val="21"/>
        </w:rPr>
        <w:t>粉尘吸入：及时离开粉尘区，吸入新鲜空气。严重情况下用清水洗涤嘴和鼻腔。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/>
          <w:bCs/>
          <w:u w:val="single"/>
        </w:rPr>
        <w:t>5.消防措施</w:t>
      </w:r>
      <w:r>
        <w:rPr>
          <w:rFonts w:ascii="Arial" w:hAnsi="Arial" w:eastAsia="黑体;SimHei" w:cs="Arial"/>
          <w:u w:val="single"/>
        </w:rPr>
        <w:t>（fire-fighting measures）</w:t>
      </w:r>
    </w:p>
    <w:p>
      <w:pPr>
        <w:pStyle w:val="5"/>
        <w:spacing w:line="360" w:lineRule="auto"/>
      </w:pPr>
      <w:r>
        <w:rPr>
          <w:rFonts w:ascii="Arial" w:hAnsi="Arial" w:eastAsia="黑体;SimHei" w:cs="Arial"/>
          <w:sz w:val="21"/>
          <w:szCs w:val="21"/>
        </w:rPr>
        <w:t>爆燃特性：可在空气中形成可燃粉尘浓度，有粉尘爆炸的可能性。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灭火方法：灭火剂：砂土、泡沫、二氧化碳、干粉。</w:t>
      </w:r>
    </w:p>
    <w:p>
      <w:pPr>
        <w:pStyle w:val="5"/>
        <w:spacing w:line="120" w:lineRule="auto"/>
        <w:rPr>
          <w:rFonts w:ascii="Arial" w:hAnsi="Arial" w:eastAsia="黑体;SimHei" w:cs="Arial"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6.泄漏应急处理措施</w:t>
      </w:r>
      <w:r>
        <w:rPr>
          <w:rFonts w:ascii="Arial" w:hAnsi="Arial" w:eastAsia="黑体;SimHei" w:cs="Arial"/>
          <w:u w:val="single"/>
        </w:rPr>
        <w:t>（accidental release measures）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u w:val="single"/>
        </w:rPr>
      </w:pPr>
    </w:p>
    <w:p>
      <w:pPr>
        <w:pStyle w:val="5"/>
        <w:spacing w:line="120" w:lineRule="auto"/>
        <w:rPr>
          <w:rFonts w:ascii="Arial" w:hAnsi="Arial" w:eastAsia="黑体;SimHei" w:cs="Arial"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7.操作处置与储存措施</w:t>
      </w:r>
      <w:r>
        <w:rPr>
          <w:rFonts w:ascii="Arial" w:hAnsi="Arial" w:eastAsia="黑体;SimHei" w:cs="Arial"/>
          <w:u w:val="single"/>
        </w:rPr>
        <w:t xml:space="preserve">（handling and </w:t>
      </w:r>
      <w:r>
        <w:rPr>
          <w:rFonts w:ascii="Arial" w:hAnsi="Arial" w:eastAsia="黑体;SimHei" w:cs="Arial"/>
          <w:u w:val="single"/>
        </w:rPr>
        <w:tab/>
      </w:r>
      <w:r>
        <w:rPr>
          <w:rFonts w:ascii="Arial" w:hAnsi="Arial" w:eastAsia="黑体;SimHei" w:cs="Arial"/>
          <w:u w:val="single"/>
        </w:rPr>
        <w:t>storage)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储于阴凉通风仓间内。远离火种，热源。防止阳光直射。包装密封，切勿受潮。搬运时要轻装轻卸，防止包装损坏。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/>
          <w:bCs/>
          <w:u w:val="single"/>
        </w:rPr>
        <w:t>8.接触控制/个体防护</w:t>
      </w:r>
      <w:r>
        <w:rPr>
          <w:rFonts w:ascii="Arial" w:hAnsi="Arial" w:eastAsia="黑体;SimHei" w:cs="Arial"/>
          <w:u w:val="single"/>
        </w:rPr>
        <w:t>（exposure controls/personal protection)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工程控制措施：密闭操作，提供良好的自然通风条件。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最高容许浓度（MAC）：未指定标准。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个体防护措施</w:t>
      </w:r>
    </w:p>
    <w:p>
      <w:pPr>
        <w:rPr>
          <w:rFonts w:ascii="Arial" w:hAnsi="Arial" w:eastAsia="黑体;SimHei" w:cs="Arial"/>
          <w:szCs w:val="21"/>
        </w:rPr>
      </w:pPr>
      <w:r>
        <w:rPr>
          <w:rFonts w:ascii="Arial" w:hAnsi="Arial" w:eastAsia="黑体;SimHei" w:cs="Arial"/>
          <w:szCs w:val="21"/>
        </w:rPr>
        <w:t>呼吸系统防护：空气中</w:t>
      </w:r>
      <w:r>
        <w:rPr>
          <w:rFonts w:hint="eastAsia" w:ascii="Arial" w:hAnsi="Arial" w:eastAsia="黑体;SimHei" w:cs="Arial"/>
          <w:szCs w:val="21"/>
        </w:rPr>
        <w:t>会形成刺鼻气味，必须</w:t>
      </w:r>
      <w:r>
        <w:rPr>
          <w:rFonts w:ascii="Arial" w:hAnsi="Arial" w:eastAsia="黑体;SimHei" w:cs="Arial"/>
          <w:szCs w:val="21"/>
        </w:rPr>
        <w:t>佩戴防尘口罩。</w:t>
      </w:r>
    </w:p>
    <w:p>
      <w:pPr>
        <w:rPr>
          <w:rFonts w:ascii="Arial" w:hAnsi="Arial" w:eastAsia="黑体;SimHei" w:cs="Arial"/>
          <w:szCs w:val="21"/>
        </w:rPr>
      </w:pPr>
    </w:p>
    <w:p>
      <w:r>
        <w:t>眼睛防护：一般不需要特殊防护。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皮肤与身体防护：穿一般作业服。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手部防护：一般作业手套。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其他防护：工作现场禁止吸烟。保持良好的卫生习惯。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/>
          <w:bCs/>
          <w:u w:val="single"/>
        </w:rPr>
        <w:t>9.理化特性</w:t>
      </w:r>
      <w:r>
        <w:rPr>
          <w:rFonts w:ascii="Arial" w:hAnsi="Arial" w:eastAsia="黑体;SimHei" w:cs="Arial"/>
          <w:u w:val="single"/>
        </w:rPr>
        <w:t>（physical and chemical properties）</w:t>
      </w:r>
    </w:p>
    <w:p>
      <w:pPr>
        <w:pStyle w:val="5"/>
        <w:spacing w:line="120" w:lineRule="auto"/>
        <w:rPr>
          <w:rFonts w:hint="eastAsia" w:ascii="Arial" w:hAnsi="Arial" w:eastAsia="黑体;SimHei" w:cs="Arial"/>
          <w:sz w:val="21"/>
          <w:szCs w:val="21"/>
          <w:lang w:eastAsia="zh-CN"/>
        </w:rPr>
      </w:pPr>
      <w:r>
        <w:rPr>
          <w:rFonts w:ascii="Arial" w:hAnsi="Arial" w:eastAsia="黑体;SimHei" w:cs="Arial"/>
          <w:sz w:val="21"/>
          <w:szCs w:val="21"/>
        </w:rPr>
        <w:t>外观与性状：</w:t>
      </w:r>
      <w:r>
        <w:rPr>
          <w:rFonts w:hint="eastAsia" w:ascii="Arial" w:hAnsi="Arial" w:eastAsia="黑体;SimHei" w:cs="Arial"/>
          <w:sz w:val="21"/>
          <w:szCs w:val="21"/>
          <w:lang w:eastAsia="zh-CN"/>
        </w:rPr>
        <w:t>棕色粉末</w:t>
      </w:r>
    </w:p>
    <w:p>
      <w:pPr>
        <w:pStyle w:val="5"/>
        <w:spacing w:line="120" w:lineRule="auto"/>
        <w:rPr>
          <w:rFonts w:hint="eastAsia" w:ascii="Arial" w:hAnsi="Arial" w:eastAsia="黑体;SimHei" w:cs="Arial"/>
          <w:sz w:val="21"/>
          <w:szCs w:val="21"/>
          <w:lang w:eastAsia="zh-CN"/>
        </w:rPr>
      </w:pPr>
      <w:r>
        <w:rPr>
          <w:rFonts w:ascii="Arial" w:hAnsi="Arial" w:eastAsia="黑体;SimHei" w:cs="Arial"/>
          <w:sz w:val="21"/>
          <w:szCs w:val="21"/>
        </w:rPr>
        <w:t>溶解性：</w:t>
      </w:r>
      <w:r>
        <w:rPr>
          <w:rFonts w:hint="eastAsia" w:ascii="Arial" w:hAnsi="Arial" w:eastAsia="黑体;SimHei" w:cs="Arial"/>
          <w:sz w:val="21"/>
          <w:szCs w:val="21"/>
          <w:lang w:eastAsia="zh-CN"/>
        </w:rPr>
        <w:t>全溶于水</w:t>
      </w:r>
    </w:p>
    <w:p>
      <w:pPr>
        <w:pStyle w:val="5"/>
        <w:spacing w:line="120" w:lineRule="auto"/>
        <w:rPr>
          <w:rFonts w:ascii="Arial" w:hAnsi="Arial" w:eastAsia="黑体;SimHei" w:cs="Arial"/>
          <w:b/>
          <w:bCs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10.稳定性和反应活性</w:t>
      </w:r>
      <w:r>
        <w:rPr>
          <w:rFonts w:ascii="Arial" w:hAnsi="Arial" w:eastAsia="黑体;SimHei" w:cs="Arial"/>
          <w:u w:val="single"/>
        </w:rPr>
        <w:t>（stability and reactivity)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稳定性：稳定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/>
          <w:bCs/>
          <w:u w:val="single"/>
        </w:rPr>
        <w:t>11.毒理学资料</w:t>
      </w:r>
      <w:r>
        <w:rPr>
          <w:rFonts w:ascii="Arial" w:hAnsi="Arial" w:eastAsia="黑体;SimHei" w:cs="Arial"/>
          <w:u w:val="single"/>
        </w:rPr>
        <w:t>（toxicological information）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毒性：无。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刺激性：</w:t>
      </w:r>
      <w:r>
        <w:rPr>
          <w:rFonts w:hint="eastAsia" w:ascii="Arial" w:hAnsi="Arial" w:eastAsia="黑体;SimHei" w:cs="Arial"/>
          <w:sz w:val="21"/>
          <w:szCs w:val="21"/>
        </w:rPr>
        <w:t>对人体鼻粘膜会产生较强刺激性。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致敏性：偶见过敏。</w:t>
      </w:r>
    </w:p>
    <w:p>
      <w:pPr>
        <w:pStyle w:val="5"/>
        <w:spacing w:line="120" w:lineRule="auto"/>
        <w:rPr>
          <w:rFonts w:ascii="Arial" w:hAnsi="Arial" w:eastAsia="黑体;SimHei" w:cs="Arial"/>
          <w:b/>
          <w:bCs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12.生态学资料</w:t>
      </w:r>
      <w:r>
        <w:rPr>
          <w:rFonts w:ascii="Arial" w:hAnsi="Arial" w:eastAsia="黑体;SimHei" w:cs="Arial"/>
          <w:u w:val="single"/>
        </w:rPr>
        <w:t>（ecological information）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综合评价：无资料。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生态毒性：资料不详。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生物降解性：资料不详。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非生物降解性：资料不详。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生物富集或生物积累性：资料不详。</w:t>
      </w:r>
    </w:p>
    <w:p>
      <w:pPr>
        <w:pStyle w:val="5"/>
        <w:spacing w:line="120" w:lineRule="auto"/>
        <w:rPr>
          <w:rFonts w:ascii="Arial" w:hAnsi="Arial" w:eastAsia="黑体;SimHei" w:cs="Arial"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13.废弃处置</w:t>
      </w:r>
      <w:r>
        <w:rPr>
          <w:rFonts w:ascii="Arial" w:hAnsi="Arial" w:eastAsia="黑体;SimHei" w:cs="Arial"/>
          <w:u w:val="single"/>
        </w:rPr>
        <w:t>（disposal）</w:t>
      </w:r>
    </w:p>
    <w:p>
      <w:pPr>
        <w:rPr>
          <w:rFonts w:ascii="Arial" w:hAnsi="Arial" w:eastAsia="黑体;SimHei" w:cs="Arial"/>
          <w:u w:val="single"/>
        </w:rPr>
      </w:pPr>
    </w:p>
    <w:p>
      <w:r>
        <w:t>废弃物性质：一般废物</w:t>
      </w:r>
    </w:p>
    <w:p/>
    <w:p>
      <w:r>
        <w:rPr>
          <w:rFonts w:ascii="Arial" w:hAnsi="Arial" w:eastAsia="黑体;SimHei" w:cs="Arial"/>
          <w:szCs w:val="21"/>
        </w:rPr>
        <w:t>废弃处置方法：由有资质厂商处理。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/>
          <w:bCs/>
          <w:u w:val="single"/>
        </w:rPr>
        <w:t>14.运输信息</w:t>
      </w:r>
      <w:r>
        <w:rPr>
          <w:rFonts w:ascii="Arial" w:hAnsi="Arial" w:eastAsia="黑体;SimHei" w:cs="Arial"/>
          <w:u w:val="single"/>
        </w:rPr>
        <w:t>（transport information)</w:t>
      </w:r>
    </w:p>
    <w:p>
      <w:r>
        <w:t>包装方法：双层塑料袋内包装,2</w:t>
      </w:r>
      <w:r>
        <w:rPr>
          <w:rFonts w:hint="eastAsia"/>
          <w:lang w:val="en-US" w:eastAsia="zh-CN"/>
        </w:rPr>
        <w:t>5</w:t>
      </w:r>
      <w:r>
        <w:t>KG纸板桶外包装。</w:t>
      </w:r>
    </w:p>
    <w:p/>
    <w:p>
      <w:r>
        <w:t>运输注意事项：由有资质厂商处理。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b/>
          <w:bCs/>
          <w:u w:val="single"/>
        </w:rPr>
        <w:t>15.法规信息</w:t>
      </w:r>
      <w:r>
        <w:rPr>
          <w:rFonts w:ascii="Arial" w:hAnsi="Arial" w:eastAsia="黑体;SimHei" w:cs="Arial"/>
          <w:u w:val="single"/>
        </w:rPr>
        <w:t>（regulatory information）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法规信息：</w:t>
      </w:r>
    </w:p>
    <w:p>
      <w:pPr>
        <w:pStyle w:val="5"/>
        <w:spacing w:line="120" w:lineRule="auto"/>
        <w:rPr>
          <w:rFonts w:ascii="Arial" w:hAnsi="Arial" w:eastAsia="黑体;SimHei" w:cs="Arial"/>
          <w:b/>
          <w:bCs/>
          <w:u w:val="single"/>
        </w:rPr>
      </w:pPr>
      <w:r>
        <w:rPr>
          <w:rFonts w:ascii="Arial" w:hAnsi="Arial" w:eastAsia="黑体;SimHei" w:cs="Arial"/>
          <w:b/>
          <w:bCs/>
          <w:u w:val="single"/>
        </w:rPr>
        <w:t>16.其他信息</w:t>
      </w:r>
      <w:r>
        <w:rPr>
          <w:rFonts w:ascii="Arial" w:hAnsi="Arial" w:eastAsia="黑体;SimHei" w:cs="Arial"/>
          <w:u w:val="single"/>
        </w:rPr>
        <w:t>（other information）</w:t>
      </w:r>
    </w:p>
    <w:p>
      <w:pPr>
        <w:pStyle w:val="5"/>
        <w:spacing w:line="120" w:lineRule="auto"/>
      </w:pPr>
      <w:r>
        <w:rPr>
          <w:rFonts w:ascii="Arial" w:hAnsi="Arial" w:eastAsia="黑体;SimHei" w:cs="Arial"/>
          <w:sz w:val="21"/>
          <w:szCs w:val="21"/>
        </w:rPr>
        <w:t>制表时间：20</w:t>
      </w:r>
      <w:r>
        <w:rPr>
          <w:rFonts w:hint="eastAsia" w:ascii="Arial" w:hAnsi="Arial" w:eastAsia="黑体;SimHei" w:cs="Arial"/>
          <w:sz w:val="21"/>
          <w:szCs w:val="21"/>
          <w:lang w:val="en-US" w:eastAsia="zh-CN"/>
        </w:rPr>
        <w:t>21</w:t>
      </w:r>
      <w:r>
        <w:rPr>
          <w:rFonts w:ascii="Arial" w:hAnsi="Arial" w:eastAsia="黑体;SimHei" w:cs="Arial"/>
          <w:sz w:val="21"/>
          <w:szCs w:val="21"/>
        </w:rPr>
        <w:t>年</w:t>
      </w:r>
      <w:r>
        <w:rPr>
          <w:rFonts w:hint="eastAsia" w:ascii="Arial" w:hAnsi="Arial" w:cs="Arial" w:eastAsiaTheme="minorEastAsia"/>
          <w:sz w:val="21"/>
          <w:szCs w:val="21"/>
          <w:lang w:val="en-US" w:eastAsia="zh-CN"/>
        </w:rPr>
        <w:t>7</w:t>
      </w:r>
      <w:r>
        <w:rPr>
          <w:rFonts w:ascii="Arial" w:hAnsi="Arial" w:eastAsia="黑体;SimHei" w:cs="Arial"/>
          <w:sz w:val="21"/>
          <w:szCs w:val="21"/>
        </w:rPr>
        <w:t>月</w:t>
      </w:r>
      <w:r>
        <w:rPr>
          <w:rFonts w:hint="eastAsia" w:ascii="Arial" w:hAnsi="Arial" w:cs="Arial" w:eastAsiaTheme="minorEastAsia"/>
          <w:sz w:val="21"/>
          <w:szCs w:val="21"/>
          <w:lang w:val="en-US" w:eastAsia="zh-CN"/>
        </w:rPr>
        <w:t>10</w:t>
      </w:r>
      <w:bookmarkStart w:id="0" w:name="_GoBack"/>
      <w:bookmarkEnd w:id="0"/>
      <w:r>
        <w:rPr>
          <w:rFonts w:ascii="Arial" w:hAnsi="Arial" w:eastAsia="黑体;SimHei" w:cs="Arial"/>
          <w:sz w:val="21"/>
          <w:szCs w:val="21"/>
        </w:rPr>
        <w:t>日</w:t>
      </w:r>
    </w:p>
    <w:p>
      <w:pPr>
        <w:pStyle w:val="5"/>
        <w:spacing w:line="120" w:lineRule="auto"/>
        <w:rPr>
          <w:rFonts w:ascii="Arial" w:hAnsi="Arial" w:eastAsia="黑体;SimHei" w:cs="Arial"/>
          <w:sz w:val="21"/>
          <w:szCs w:val="21"/>
        </w:rPr>
      </w:pPr>
      <w:r>
        <w:rPr>
          <w:rFonts w:ascii="Arial" w:hAnsi="Arial" w:eastAsia="黑体;SimHei" w:cs="Arial"/>
          <w:sz w:val="21"/>
          <w:szCs w:val="21"/>
        </w:rPr>
        <w:t>制表单位：</w:t>
      </w:r>
      <w:r>
        <w:rPr>
          <w:rFonts w:hint="eastAsia" w:ascii="Arial" w:hAnsi="Arial" w:eastAsia="黑体;SimHei" w:cs="Arial"/>
          <w:sz w:val="21"/>
          <w:szCs w:val="21"/>
          <w:lang w:eastAsia="zh-CN"/>
        </w:rPr>
        <w:t>陕西新天域生物科技</w:t>
      </w:r>
      <w:r>
        <w:rPr>
          <w:rFonts w:ascii="Arial" w:hAnsi="Arial" w:eastAsia="黑体;SimHei" w:cs="Arial"/>
          <w:sz w:val="21"/>
          <w:szCs w:val="21"/>
        </w:rPr>
        <w:t>有限公司</w:t>
      </w:r>
    </w:p>
    <w:p>
      <w:pPr>
        <w:spacing w:line="120" w:lineRule="auto"/>
        <w:rPr>
          <w:rFonts w:ascii="Arial" w:hAnsi="Arial" w:eastAsia="黑体;SimHei" w:cs="Arial"/>
          <w:szCs w:val="21"/>
        </w:rPr>
      </w:pPr>
    </w:p>
    <w:sectPr>
      <w:footerReference r:id="rId3" w:type="default"/>
      <w:pgSz w:w="11906" w:h="16838"/>
      <w:pgMar w:top="1418" w:right="851" w:bottom="1134" w:left="851" w:header="0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rPr>
        <w:szCs w:val="21"/>
      </w:rPr>
      <w:t>第</w:t>
    </w:r>
    <w:r>
      <w:rPr>
        <w:szCs w:val="21"/>
      </w:rP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szCs w:val="21"/>
      </w:rPr>
      <w:t>页共</w:t>
    </w:r>
    <w:r>
      <w:rPr>
        <w:szCs w:val="21"/>
      </w:rPr>
      <w:fldChar w:fldCharType="begin"/>
    </w:r>
    <w:r>
      <w:instrText xml:space="preserve">NUMPAGES \* ARABIC</w:instrText>
    </w:r>
    <w:r>
      <w:fldChar w:fldCharType="separate"/>
    </w:r>
    <w:r>
      <w:t>3</w:t>
    </w:r>
    <w:r>
      <w:fldChar w:fldCharType="end"/>
    </w:r>
    <w:r>
      <w:rPr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C"/>
    <w:rsid w:val="00092960"/>
    <w:rsid w:val="000B60AA"/>
    <w:rsid w:val="00184529"/>
    <w:rsid w:val="001C3C2D"/>
    <w:rsid w:val="00232B04"/>
    <w:rsid w:val="003145FE"/>
    <w:rsid w:val="0039579B"/>
    <w:rsid w:val="004C7391"/>
    <w:rsid w:val="005A2A5F"/>
    <w:rsid w:val="00625716"/>
    <w:rsid w:val="008E7B8D"/>
    <w:rsid w:val="00A33FFC"/>
    <w:rsid w:val="00A34800"/>
    <w:rsid w:val="00A35AB4"/>
    <w:rsid w:val="00AD05B8"/>
    <w:rsid w:val="00B625B3"/>
    <w:rsid w:val="00BE7E5C"/>
    <w:rsid w:val="00DD0877"/>
    <w:rsid w:val="00DE33FC"/>
    <w:rsid w:val="00FA460D"/>
    <w:rsid w:val="0193029B"/>
    <w:rsid w:val="02B659C3"/>
    <w:rsid w:val="1053436F"/>
    <w:rsid w:val="1F2571BA"/>
    <w:rsid w:val="30313B80"/>
    <w:rsid w:val="33626778"/>
    <w:rsid w:val="345B5070"/>
    <w:rsid w:val="44FF65F5"/>
    <w:rsid w:val="465734D3"/>
    <w:rsid w:val="561A5045"/>
    <w:rsid w:val="57473EAF"/>
    <w:rsid w:val="5C4B2BA6"/>
    <w:rsid w:val="74EA7D1B"/>
    <w:rsid w:val="79815539"/>
    <w:rsid w:val="79A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</w:style>
  <w:style w:type="paragraph" w:styleId="3">
    <w:name w:val="Date"/>
    <w:basedOn w:val="1"/>
    <w:next w:val="1"/>
    <w:qFormat/>
    <w:uiPriority w:val="0"/>
    <w:rPr>
      <w:rFonts w:ascii="宋体;SimSun" w:hAnsi="宋体;SimSun" w:cs="宋体;SimSun"/>
      <w:color w:val="000000"/>
      <w:sz w:val="24"/>
    </w:rPr>
  </w:style>
  <w:style w:type="paragraph" w:styleId="4">
    <w:name w:val="List"/>
    <w:basedOn w:val="2"/>
    <w:qFormat/>
    <w:uiPriority w:val="0"/>
    <w:rPr>
      <w:rFonts w:cs="Mangal"/>
    </w:rPr>
  </w:style>
  <w:style w:type="paragraph" w:styleId="5">
    <w:name w:val="Normal (Web)"/>
    <w:basedOn w:val="1"/>
    <w:qFormat/>
    <w:uiPriority w:val="0"/>
    <w:pPr>
      <w:widowControl/>
      <w:spacing w:before="280" w:after="280"/>
      <w:jc w:val="left"/>
    </w:pPr>
    <w:rPr>
      <w:rFonts w:ascii="宋体;SimSun" w:hAnsi="宋体;SimSun" w:cs="宋体;SimSun"/>
      <w:color w:val="00000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WW8Num1z0"/>
    <w:qFormat/>
    <w:uiPriority w:val="0"/>
  </w:style>
  <w:style w:type="character" w:customStyle="1" w:styleId="10">
    <w:name w:val="WW8Num1z1"/>
    <w:qFormat/>
    <w:uiPriority w:val="0"/>
  </w:style>
  <w:style w:type="character" w:customStyle="1" w:styleId="11">
    <w:name w:val="WW8Num1z2"/>
    <w:qFormat/>
    <w:uiPriority w:val="0"/>
  </w:style>
  <w:style w:type="character" w:customStyle="1" w:styleId="12">
    <w:name w:val="WW8Num1z3"/>
    <w:qFormat/>
    <w:uiPriority w:val="0"/>
  </w:style>
  <w:style w:type="character" w:customStyle="1" w:styleId="13">
    <w:name w:val="WW8Num1z4"/>
    <w:qFormat/>
    <w:uiPriority w:val="0"/>
  </w:style>
  <w:style w:type="character" w:customStyle="1" w:styleId="14">
    <w:name w:val="WW8Num1z5"/>
    <w:qFormat/>
    <w:uiPriority w:val="0"/>
  </w:style>
  <w:style w:type="character" w:customStyle="1" w:styleId="15">
    <w:name w:val="WW8Num1z6"/>
    <w:qFormat/>
    <w:uiPriority w:val="0"/>
  </w:style>
  <w:style w:type="character" w:customStyle="1" w:styleId="16">
    <w:name w:val="WW8Num1z7"/>
    <w:qFormat/>
    <w:uiPriority w:val="0"/>
  </w:style>
  <w:style w:type="character" w:customStyle="1" w:styleId="17">
    <w:name w:val="WW8Num1z8"/>
    <w:qFormat/>
    <w:uiPriority w:val="0"/>
  </w:style>
  <w:style w:type="character" w:customStyle="1" w:styleId="18">
    <w:name w:val="Internet 链接"/>
    <w:qFormat/>
    <w:uiPriority w:val="0"/>
    <w:rPr>
      <w:color w:val="000080"/>
      <w:u w:val="single"/>
    </w:rPr>
  </w:style>
  <w:style w:type="paragraph" w:customStyle="1" w:styleId="19">
    <w:name w:val="标题样式"/>
    <w:basedOn w:val="1"/>
    <w:next w:val="2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20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索引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4">
    <w:name w:val="表格内容"/>
    <w:basedOn w:val="1"/>
    <w:qFormat/>
    <w:uiPriority w:val="0"/>
    <w:pPr>
      <w:suppressLineNumbers/>
    </w:pPr>
  </w:style>
  <w:style w:type="paragraph" w:customStyle="1" w:styleId="25">
    <w:name w:val="表格标题"/>
    <w:basedOn w:val="24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197</Words>
  <Characters>1125</Characters>
  <Lines>9</Lines>
  <Paragraphs>2</Paragraphs>
  <TotalTime>15</TotalTime>
  <ScaleCrop>false</ScaleCrop>
  <LinksUpToDate>false</LinksUpToDate>
  <CharactersWithSpaces>1320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2009-02-17T20:23:00Z</dcterms:created>
  <dc:creator>tony</dc:creator>
  <cp:lastModifiedBy>安之若素</cp:lastModifiedBy>
  <cp:lastPrinted>2004-12-17T12:32:00Z</cp:lastPrinted>
  <dcterms:modified xsi:type="dcterms:W3CDTF">2021-11-24T08:19:26Z</dcterms:modified>
  <dc:title>化 学 品 安 全 技 术 说 明 书</dc:title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9EB7D7D442E641BD96E0905E5C9866F4</vt:lpwstr>
  </property>
</Properties>
</file>