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ABE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42"/>
          <w:szCs w:val="42"/>
          <w:lang w:val="en-US" w:eastAsia="zh-CN" w:bidi="ar"/>
        </w:rPr>
        <w:t>化学品安全技术说明书</w:t>
      </w:r>
    </w:p>
    <w:p w14:paraId="35D5B1FF">
      <w:pPr>
        <w:pStyle w:val="17"/>
        <w:spacing w:before="89" w:line="193" w:lineRule="auto"/>
        <w:jc w:val="center"/>
        <w:rPr>
          <w:rFonts w:hint="default" w:ascii="Times New Roman" w:hAnsi="Times New Roman" w:cs="Times New Roman"/>
          <w:b/>
          <w:bCs/>
          <w:color w:val="auto"/>
          <w:spacing w:val="5"/>
          <w:sz w:val="31"/>
          <w:szCs w:val="31"/>
        </w:rPr>
      </w:pPr>
    </w:p>
    <w:p w14:paraId="0BCB980A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MSDS 编号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：FQS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250305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12</w:t>
      </w:r>
    </w:p>
    <w:p w14:paraId="2D5A0A65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日期：2025 年 3 月 5日</w:t>
      </w:r>
    </w:p>
    <w:p w14:paraId="62D412F7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微软雅黑" w:cs="Times New Roman"/>
          <w:color w:val="auto"/>
          <w:kern w:val="0"/>
          <w:sz w:val="18"/>
          <w:szCs w:val="18"/>
          <w:lang w:val="en-US" w:eastAsia="zh-CN" w:bidi="ar"/>
        </w:rPr>
      </w:pPr>
    </w:p>
    <w:p w14:paraId="568188A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 部分 化学品及企业标识</w:t>
      </w:r>
    </w:p>
    <w:p w14:paraId="1F4FD7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3FA9FABE">
      <w:pPr>
        <w:pStyle w:val="8"/>
        <w:spacing w:before="110" w:line="185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化学品中文名：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2-咪唑啉酮（乙烯脲）</w:t>
      </w:r>
    </w:p>
    <w:p w14:paraId="03519FC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化学品英文名：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2-imidazolidinone  </w:t>
      </w:r>
    </w:p>
    <w:p w14:paraId="343DC82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企业名称：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山东峰泉新材料有限公司 </w:t>
      </w:r>
    </w:p>
    <w:p w14:paraId="4900191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企业地址：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沂水县经济开发区庐山化工园区  </w:t>
      </w:r>
    </w:p>
    <w:p w14:paraId="2A6AD66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传真：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0086-539-2365668 </w:t>
      </w:r>
    </w:p>
    <w:p w14:paraId="5DBCC1F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0086-539-2365668 </w:t>
      </w:r>
    </w:p>
    <w:p w14:paraId="0585790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电子邮件地址：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sales@sdfqxcl. com </w:t>
      </w:r>
    </w:p>
    <w:p w14:paraId="2F130A8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企业应急电话：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18764336222 </w:t>
      </w:r>
    </w:p>
    <w:p w14:paraId="10DF74F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产品推荐及限制用途：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工业及科研用途。</w:t>
      </w:r>
    </w:p>
    <w:p w14:paraId="49835EE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1C385B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135255</wp:posOffset>
                </wp:positionV>
                <wp:extent cx="6915150" cy="0"/>
                <wp:effectExtent l="0" t="6350" r="0" b="63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05" y="5954395"/>
                          <a:ext cx="691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35pt;margin-top:10.65pt;height:0pt;width:544.5pt;z-index:251665408;mso-width-relative:page;mso-height-relative:page;" filled="f" stroked="t" coordsize="21600,21600" o:gfxdata="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1CTy2AAAAAoBAAAPAAAAAAAAAAEAIAAAACIAAABkcnMvZG93bnJldi54bWxQSwEC&#10;FAAUAAAACACHTuJAr1HdqvQBAAC/AwAADgAAAAAAAAABACAAAAAnAQAAZHJzL2Uyb0RvYy54bWxQ&#10;SwUGAAAAAAYABgBZAQAAj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21B1E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3B4F19B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2 部分 危险性概述</w:t>
      </w:r>
    </w:p>
    <w:p w14:paraId="30F853A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</w:pPr>
    </w:p>
    <w:p w14:paraId="590448C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紧急情况概述：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粉末 造成严重眼刺激。长期或反复接触可能损害(甲状腺)器官。向到现场的医生出示此安全技术说明书。吸入之后: 将伤者移到空气新鲜处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立即就医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在皮肤接触的情况下: 立即除去∕脱掉所有沾污的衣物。用水清洗皮肤/淋浴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请教医生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眼睛接触之后:以大量清水洗去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联络眼科医生,取下隐形眼镜。吞食之后:立即让伤者饮水(最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2杯)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请教医生。可燃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起火时可能引发产生危害性气体或蒸气。</w:t>
      </w:r>
    </w:p>
    <w:p w14:paraId="439D60E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GHS-分类：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严重眼睛损伤/眼睛刺激性 (类别 2A), H319 造成严重眼刺激</w:t>
      </w:r>
    </w:p>
    <w:p w14:paraId="04DDF0F7">
      <w:pPr>
        <w:keepNext w:val="0"/>
        <w:keepLines w:val="0"/>
        <w:widowControl/>
        <w:suppressLineNumbers w:val="0"/>
        <w:ind w:firstLine="1100" w:firstLineChars="500"/>
        <w:jc w:val="left"/>
        <w:rPr>
          <w:rFonts w:hint="default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特异性靶器官系统毒性（反复接触） (类别 2), 甲状腺, H373</w:t>
      </w:r>
      <w:r>
        <w:rPr>
          <w:rFonts w:hint="eastAsia" w:asciiTheme="minorEastAsia" w:hAnsi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 长期或反复接触可能损害器官。</w:t>
      </w:r>
    </w:p>
    <w:p w14:paraId="54919FB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标签要素：</w:t>
      </w:r>
    </w:p>
    <w:p w14:paraId="5982EB7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</w:pPr>
    </w:p>
    <w:p w14:paraId="21C944F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象形图</w:t>
      </w:r>
    </w:p>
    <w:p w14:paraId="6BD49B5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1433830</wp:posOffset>
            </wp:positionH>
            <wp:positionV relativeFrom="page">
              <wp:posOffset>8178165</wp:posOffset>
            </wp:positionV>
            <wp:extent cx="962660" cy="962025"/>
            <wp:effectExtent l="0" t="0" r="46990" b="47625"/>
            <wp:wrapTight wrapText="bothSides">
              <wp:wrapPolygon>
                <wp:start x="0" y="0"/>
                <wp:lineTo x="0" y="21386"/>
                <wp:lineTo x="21372" y="21386"/>
                <wp:lineTo x="21372" y="0"/>
                <wp:lineTo x="0" y="0"/>
              </wp:wrapPolygon>
            </wp:wrapTight>
            <wp:docPr id="1" name="图片 1" descr="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474345</wp:posOffset>
            </wp:positionH>
            <wp:positionV relativeFrom="page">
              <wp:posOffset>8178165</wp:posOffset>
            </wp:positionV>
            <wp:extent cx="959485" cy="951230"/>
            <wp:effectExtent l="0" t="0" r="12065" b="1270"/>
            <wp:wrapTopAndBottom/>
            <wp:docPr id="6" name="图片 6" descr="10159298_14085340012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159298_140853400127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16F52">
      <w:pPr>
        <w:rPr>
          <w:rFonts w:hint="default" w:ascii="Times New Roman" w:hAnsi="Times New Roman" w:cs="Times New Roman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 警示词：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警告</w:t>
      </w:r>
    </w:p>
    <w:p w14:paraId="7742228D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危险说明：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H319 造成严重眼刺激。</w:t>
      </w:r>
    </w:p>
    <w:p w14:paraId="374B8907">
      <w:pPr>
        <w:keepNext w:val="0"/>
        <w:keepLines w:val="0"/>
        <w:widowControl/>
        <w:suppressLineNumbers w:val="0"/>
        <w:ind w:firstLine="1100" w:firstLineChars="5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2"/>
          <w:szCs w:val="22"/>
          <w:lang w:val="en-US" w:eastAsia="zh-CN" w:bidi="ar"/>
        </w:rPr>
        <w:t>H373 长期或反复接触可能损害(甲状腺)器官。</w:t>
      </w:r>
    </w:p>
    <w:p w14:paraId="1628957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防范说明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：</w:t>
      </w:r>
    </w:p>
    <w:p w14:paraId="351E5655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预防措施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：P260 不要吸入粉尘。</w:t>
      </w:r>
    </w:p>
    <w:p w14:paraId="0D05ABF2">
      <w:pPr>
        <w:keepNext w:val="0"/>
        <w:keepLines w:val="0"/>
        <w:widowControl/>
        <w:suppressLineNumbers w:val="0"/>
        <w:ind w:firstLine="1100" w:firstLineChars="5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P264 操作后彻底清洁皮肤 。</w:t>
      </w:r>
    </w:p>
    <w:p w14:paraId="181C3FB6">
      <w:pPr>
        <w:keepNext w:val="0"/>
        <w:keepLines w:val="0"/>
        <w:widowControl/>
        <w:suppressLineNumbers w:val="0"/>
        <w:ind w:firstLine="1100" w:firstLineChars="5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P280 穿戴防护手套/ 眼保护罩/ 面部保护罩</w:t>
      </w:r>
    </w:p>
    <w:p w14:paraId="16D511E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事故响应：</w:t>
      </w:r>
    </w:p>
    <w:p w14:paraId="692BB6EA">
      <w:pPr>
        <w:keepNext w:val="0"/>
        <w:keepLines w:val="0"/>
        <w:widowControl/>
        <w:suppressLineNumbers w:val="0"/>
        <w:ind w:left="1092" w:leftChars="520"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P305+P351+P338 如与眼睛接触，用水缓慢温和地冲洗几分钟 。如戴隐形眼镜，取出   隐形眼镜 ，然后继续冲洗。</w:t>
      </w:r>
    </w:p>
    <w:p w14:paraId="29A53491">
      <w:pPr>
        <w:keepNext w:val="0"/>
        <w:keepLines w:val="0"/>
        <w:widowControl/>
        <w:suppressLineNumbers w:val="0"/>
        <w:ind w:firstLine="1100" w:firstLineChars="5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P314 如感觉不适，须求医/就诊。</w:t>
      </w:r>
    </w:p>
    <w:p w14:paraId="1C918EA1">
      <w:pPr>
        <w:keepNext w:val="0"/>
        <w:keepLines w:val="0"/>
        <w:widowControl/>
        <w:suppressLineNumbers w:val="0"/>
        <w:ind w:firstLine="1100" w:firstLineChars="5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P337 + P313 如仍觉眼刺激：求医/就诊。</w:t>
      </w:r>
    </w:p>
    <w:p w14:paraId="6136918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安全储存：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P405 存放处须加锁。 </w:t>
      </w:r>
    </w:p>
    <w:p w14:paraId="11D41EA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废弃处置：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P501  将内容物/ 容器处理到得到批准的废物处理厂。</w:t>
      </w:r>
    </w:p>
    <w:p w14:paraId="346D983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其它危害物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- 无</w:t>
      </w:r>
    </w:p>
    <w:p w14:paraId="0F1BCA6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</w:p>
    <w:p w14:paraId="28BC372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405181AD">
      <w:pPr>
        <w:keepNext w:val="0"/>
        <w:keepLines w:val="0"/>
        <w:widowControl/>
        <w:suppressLineNumbers w:val="0"/>
        <w:ind w:left="225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156845</wp:posOffset>
                </wp:positionV>
                <wp:extent cx="6934200" cy="0"/>
                <wp:effectExtent l="0" t="6350" r="0" b="63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580" y="6914515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1pt;margin-top:12.35pt;height:0pt;width:546pt;z-index:251668480;mso-width-relative:page;mso-height-relative:page;" filled="f" stroked="t" coordsize="21600,21600" o:gfxdata="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SFl2PZAAAACgEAAA8AAAAAAAAAAQAgAAAAIgAAAGRycy9kb3ducmV2LnhtbFBLAQIU&#10;ABQAAAAIAIdO4kAlHjCL8gEAAL8DAAAOAAAAAAAAAAEAIAAAACg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7C733FD">
      <w:pPr>
        <w:keepNext w:val="0"/>
        <w:keepLines w:val="0"/>
        <w:widowControl/>
        <w:suppressLineNumbers w:val="0"/>
        <w:ind w:left="225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  <w14:textOutline w14:w="9525">
            <w14:solidFill>
              <w14:schemeClr w14:val="accent1"/>
            </w14:solidFill>
            <w14:round/>
          </w14:textOutline>
        </w:rPr>
      </w:pPr>
    </w:p>
    <w:p w14:paraId="26C0560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3 部分 成分/组成信息</w:t>
      </w:r>
    </w:p>
    <w:tbl>
      <w:tblPr>
        <w:tblStyle w:val="12"/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8"/>
        <w:gridCol w:w="1844"/>
        <w:gridCol w:w="1016"/>
      </w:tblGrid>
      <w:tr w14:paraId="5648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95E8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组分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67E8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浓度或浓度范围(质量分数，%)</w:t>
            </w: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8E5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CAS No.</w:t>
            </w:r>
          </w:p>
        </w:tc>
      </w:tr>
      <w:tr w14:paraId="5A6E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B6E5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2-咪唑烷酮</w:t>
            </w:r>
          </w:p>
          <w:p w14:paraId="3C561A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SimSun-WinCharSetFFFF-H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(2-imidazolidinone)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FAA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SimSun-WinCharSetFFFF-H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≥99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7E91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spacing w:val="-2"/>
              </w:rPr>
              <w:t>120-93-4</w:t>
            </w:r>
          </w:p>
        </w:tc>
      </w:tr>
    </w:tbl>
    <w:p w14:paraId="341937E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</w:p>
    <w:p w14:paraId="73E85A5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4 部分 急救措施</w:t>
      </w:r>
    </w:p>
    <w:p w14:paraId="63BA96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急 救： </w:t>
      </w:r>
    </w:p>
    <w:p w14:paraId="0968D3B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吸 入： 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如果吸入，请将患者移到新鲜空气处。 </w:t>
      </w:r>
    </w:p>
    <w:p w14:paraId="4CDA68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>皮肤接触：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 脱去污染的衣着，用肥皂水和清水彻底冲洗皮肤。如有不适感，就医。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2889EFA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眼晴接触： 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分开眼睑，用流动清水或生理盐水冲洗至少冲洗15分钟以上，并就医。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6724D98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食 入： 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漱口，禁止催吐。立即就医。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62B529C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对医生的特别提示： 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按症状治疗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zh-CN" w:bidi="ar"/>
        </w:rPr>
        <w:t>。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根据患者的情况和事故的具体情况不同，治疗方法可能不同。在所有潜在的中毒情况下，现场应急救治是至关重要的。</w:t>
      </w:r>
    </w:p>
    <w:p w14:paraId="3E2E1FE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 w14:paraId="3914E61F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387350</wp:posOffset>
                </wp:positionV>
                <wp:extent cx="6934200" cy="0"/>
                <wp:effectExtent l="0" t="6350" r="0" b="63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530" y="397891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30.5pt;height:0pt;width:546pt;z-index:251666432;mso-width-relative:page;mso-height-relative:page;" filled="f" stroked="t" coordsize="21600,21600" o:gfxdata="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7jziLZAAAACgEAAA8AAAAAAAAAAQAgAAAAIgAAAGRycy9kb3ducmV2LnhtbFBLAQIUABQA&#10;AAAIAIdO4kC+ae9K7wEAAL8DAAAOAAAAAAAAAAEAIAAAACgBAABkcnMvZTJvRG9jLnhtbFBLBQYA&#10;AAAABgAGAFkBAACJ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05B822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5 部分 消防措施</w:t>
      </w:r>
    </w:p>
    <w:p w14:paraId="1C6E81A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灭火剂： </w:t>
      </w:r>
    </w:p>
    <w:p w14:paraId="21F547C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sz w:val="22"/>
          <w:szCs w:val="22"/>
        </w:rPr>
        <w:t>水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ascii="宋体" w:hAnsi="宋体" w:eastAsia="宋体" w:cs="宋体"/>
          <w:sz w:val="22"/>
          <w:szCs w:val="22"/>
        </w:rPr>
        <w:t>泡沫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ascii="宋体" w:hAnsi="宋体" w:eastAsia="宋体" w:cs="宋体"/>
          <w:sz w:val="22"/>
          <w:szCs w:val="22"/>
        </w:rPr>
        <w:t>二氧化碳(CO2) 干粉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 </w:t>
      </w:r>
    </w:p>
    <w:p w14:paraId="17449B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特别危险性： </w:t>
      </w:r>
    </w:p>
    <w:p w14:paraId="7231C4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sz w:val="22"/>
          <w:szCs w:val="22"/>
        </w:rPr>
        <w:t>产品分解后性质不明 可燃. 起火时可能引发产生危害性气体或蒸气.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 </w:t>
      </w:r>
    </w:p>
    <w:p w14:paraId="7612FA4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灭火注意事项及防护措施： </w:t>
      </w:r>
    </w:p>
    <w:p w14:paraId="1FF7893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ascii="宋体" w:hAnsi="宋体" w:eastAsia="宋体" w:cs="宋体"/>
          <w:sz w:val="22"/>
          <w:szCs w:val="22"/>
        </w:rPr>
        <w:t>未着个人呼吸装置人员不可进入危险区域内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ascii="宋体" w:hAnsi="宋体" w:eastAsia="宋体" w:cs="宋体"/>
          <w:sz w:val="22"/>
          <w:szCs w:val="22"/>
        </w:rPr>
        <w:t>保持安全距离并穿上适当的保护衣物,避免接触皮肤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Fonts w:ascii="宋体" w:hAnsi="宋体" w:eastAsia="宋体" w:cs="宋体"/>
          <w:sz w:val="22"/>
          <w:szCs w:val="22"/>
        </w:rPr>
        <w:t xml:space="preserve"> 防止消防水污染地表和地下水系统。</w:t>
      </w:r>
    </w:p>
    <w:p w14:paraId="68C454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</w:p>
    <w:p w14:paraId="7B66878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 xml:space="preserve">第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 xml:space="preserve">部分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泄露应急处理</w:t>
      </w:r>
    </w:p>
    <w:p w14:paraId="52CD05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</w:p>
    <w:p w14:paraId="7369877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作业人员防护措施、防护装备和应急处置程序： </w:t>
      </w:r>
    </w:p>
    <w:p w14:paraId="60CC6F3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避免吸入灰尘</w:t>
      </w:r>
      <w:r>
        <w:rPr>
          <w:rFonts w:hint="eastAsia" w:asciiTheme="minorEastAsia" w:hAnsiTheme="minorEastAsia" w:cstheme="minorEastAsia"/>
          <w:color w:val="auto"/>
          <w:kern w:val="0"/>
          <w:sz w:val="22"/>
          <w:szCs w:val="22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避免物质接触. 保证充分的通风。 疏散危险区域，遵守应急程序。</w:t>
      </w:r>
    </w:p>
    <w:p w14:paraId="069E76E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环境保护措施： </w:t>
      </w:r>
    </w:p>
    <w:p w14:paraId="6ED0FE5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如能确保安全，可采取措施防止进一步的泄漏或溢出。不要让产品进入下水道。 </w:t>
      </w:r>
    </w:p>
    <w:p w14:paraId="49E8272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泄漏化学品的收容、清除方法及所使用的处置材料： </w:t>
      </w:r>
    </w:p>
    <w:p w14:paraId="4E001CD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用惰性吸附材料吸收并当作危险废物处理。放入合适的封闭的容器中待处理。</w:t>
      </w:r>
    </w:p>
    <w:p w14:paraId="70A4214D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参考其他部分：</w:t>
      </w:r>
    </w:p>
    <w:p w14:paraId="645366C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丢弃处理请参阅</w:t>
      </w:r>
      <w:r>
        <w:rPr>
          <w:rFonts w:hint="eastAsia" w:asciiTheme="minorEastAsia" w:hAnsiTheme="minorEastAsia" w:cstheme="minorEastAsia"/>
          <w:color w:val="auto"/>
          <w:kern w:val="0"/>
          <w:sz w:val="22"/>
          <w:szCs w:val="22"/>
          <w:lang w:val="en-US" w:eastAsia="zh-CN" w:bidi="ar"/>
        </w:rPr>
        <w:t>章节13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。</w:t>
      </w:r>
    </w:p>
    <w:p w14:paraId="36B634ED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372745</wp:posOffset>
                </wp:positionV>
                <wp:extent cx="6934200" cy="0"/>
                <wp:effectExtent l="0" t="6350" r="0" b="63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3055" y="3576955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7pt;margin-top:29.35pt;height:0pt;width:546pt;z-index:251667456;mso-width-relative:page;mso-height-relative:page;" filled="f" stroked="t" coordsize="21600,21600" o:gfxdata="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9HWh42QAAAAoBAAAPAAAAAAAAAAEAIAAAACIAAABkcnMvZG93bnJldi54bWxQSwECFAAU&#10;AAAACACHTuJA/OvbI/ABAAC/AwAADgAAAAAAAAABACAAAAAo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4F6F30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7 部分 操作处置与储存</w:t>
      </w:r>
    </w:p>
    <w:p w14:paraId="57BC2E6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操作注意事项： </w:t>
      </w:r>
    </w:p>
    <w:p w14:paraId="2741616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在通风橱下操作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避免吸入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。</w:t>
      </w:r>
    </w:p>
    <w:p w14:paraId="1F72F11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及时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更换受污染衣物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建议使用皮肤保护乳液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使用此物质后须洗手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有关预防措施，请参见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章节2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。</w:t>
      </w:r>
    </w:p>
    <w:p w14:paraId="0978F9DF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储存注意事项： </w:t>
      </w:r>
    </w:p>
    <w:p w14:paraId="3A8F07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贮存在阴凉处。使容器保持密闭，储存在干燥通风处。</w:t>
      </w:r>
    </w:p>
    <w:p w14:paraId="543B1B7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8 部分 接触控制/个体防护</w:t>
      </w:r>
    </w:p>
    <w:p w14:paraId="6D6B159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容许浓度：</w:t>
      </w:r>
    </w:p>
    <w:p w14:paraId="43D1CCF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最高容许浓度:没有已知的国家规定的暴露极限。</w:t>
      </w:r>
    </w:p>
    <w:p w14:paraId="1C78F47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暴露控制： </w:t>
      </w:r>
    </w:p>
    <w:p w14:paraId="5B2D352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适当的技术控制</w:t>
      </w:r>
    </w:p>
    <w:p w14:paraId="692C6B6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避免与皮肤 、眼睛和衣服接触。休息前和操作本品后立即洗手。</w:t>
      </w:r>
    </w:p>
    <w:p w14:paraId="7E27AF2D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个体防护装备： </w:t>
      </w:r>
    </w:p>
    <w:p w14:paraId="1BC71CB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眼/面保护</w:t>
      </w:r>
    </w:p>
    <w:p w14:paraId="1F110AF4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紧密装配的防护眼镜请使用经官方标准如NIOSH(美国)或EN166(欧盟)检测与批准的设备防护眼部。</w:t>
      </w:r>
    </w:p>
    <w:p w14:paraId="1850FF2E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皮肤保护</w:t>
      </w:r>
    </w:p>
    <w:p w14:paraId="52E73C41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戴手套取手套在使用前必须受检查。</w:t>
      </w:r>
    </w:p>
    <w:p w14:paraId="235F70D6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请使用合适的方法脱除手套(不要接触手套外部表面),避免任何皮肤部位接触此产品.</w:t>
      </w:r>
    </w:p>
    <w:p w14:paraId="7686F2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kern w:val="0"/>
          <w:sz w:val="22"/>
          <w:szCs w:val="22"/>
          <w:lang w:val="en-US" w:eastAsia="zh-CN" w:bidi="ar"/>
        </w:rPr>
        <w:t>身体保护：穿防护服</w:t>
      </w:r>
    </w:p>
    <w:p w14:paraId="39D2E7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呼吸系统防护</w:t>
      </w:r>
      <w:r>
        <w:rPr>
          <w:rFonts w:hint="eastAsia" w:ascii="Times New Roman" w:hAnsi="Times New Roman" w:cs="Times New Roman"/>
          <w:color w:val="auto"/>
          <w:kern w:val="0"/>
          <w:sz w:val="22"/>
          <w:szCs w:val="22"/>
          <w:lang w:val="en-US" w:eastAsia="zh-CN" w:bidi="ar"/>
        </w:rPr>
        <w:t>：佩戴过滤防护装置</w:t>
      </w:r>
    </w:p>
    <w:p w14:paraId="70ADB7C6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226" w:right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138430</wp:posOffset>
                </wp:positionV>
                <wp:extent cx="6934200" cy="0"/>
                <wp:effectExtent l="0" t="6350" r="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3055" y="6857365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8pt;margin-top:10.9pt;height:0pt;width:546pt;z-index:251659264;mso-width-relative:page;mso-height-relative:page;" filled="f" stroked="t" coordsize="21600,21600" o:gfxdata="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s6N2NkAAAAKAQAADwAAAAAAAAABACAAAAAiAAAAZHJzL2Rvd25yZXYueG1sUEsBAhQA&#10;FAAAAAgAh07iQM4BDmvxAQAAvwMAAA4AAAAAAAAAAQAgAAAAKA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9FF1249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226" w:right="0"/>
        <w:rPr>
          <w:rFonts w:hint="default" w:ascii="Times New Roman" w:hAnsi="Times New Roman" w:cs="Times New Roman"/>
          <w:color w:val="auto"/>
        </w:rPr>
      </w:pPr>
    </w:p>
    <w:p w14:paraId="26C472C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9 部分 理化特性</w:t>
      </w:r>
    </w:p>
    <w:tbl>
      <w:tblPr>
        <w:tblStyle w:val="12"/>
        <w:tblW w:w="10399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4"/>
        <w:gridCol w:w="4875"/>
      </w:tblGrid>
      <w:tr w14:paraId="7199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2C9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外观与性状：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白色结晶粉末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8A5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气味：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轻微气味</w:t>
            </w:r>
          </w:p>
        </w:tc>
      </w:tr>
      <w:tr w14:paraId="2BEE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6D6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气味阈值：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CD5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干燥失重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≤1.5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  </w:t>
            </w:r>
          </w:p>
        </w:tc>
      </w:tr>
      <w:tr w14:paraId="778C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8C2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沸点、初沸点和沸程（°C）：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90C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沸点、初沸点和沸程：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  <w:tr w14:paraId="46A6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44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熔点：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115~120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84A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分解温度 (°C)：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  <w:tr w14:paraId="060F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4C7E05">
            <w:pPr>
              <w:pStyle w:val="8"/>
              <w:spacing w:before="66" w:line="222" w:lineRule="auto"/>
              <w:ind w:left="21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闪点：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8E7AF8">
            <w:pPr>
              <w:pStyle w:val="8"/>
              <w:spacing w:before="2" w:line="222" w:lineRule="auto"/>
              <w:ind w:left="28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蒸发速率：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  <w:tr w14:paraId="34AC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B556F6">
            <w:pPr>
              <w:pStyle w:val="8"/>
              <w:spacing w:before="21" w:line="222" w:lineRule="auto"/>
              <w:ind w:left="28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易燃性(固体,气体)：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85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高的/低的燃烧性或爆炸性限度：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  <w:tr w14:paraId="1CF1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1A1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蒸气压：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AA2DAE">
            <w:pPr>
              <w:pStyle w:val="8"/>
              <w:spacing w:before="7" w:line="222" w:lineRule="auto"/>
              <w:ind w:left="28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蒸汽密度：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  <w:tr w14:paraId="5B70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667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密度/相对密度: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8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925B82">
            <w:pPr>
              <w:pStyle w:val="8"/>
              <w:spacing w:before="8" w:line="222" w:lineRule="auto"/>
              <w:ind w:left="28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水溶性：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可溶于水</w:t>
            </w:r>
          </w:p>
        </w:tc>
      </w:tr>
      <w:tr w14:paraId="590D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E16F2C">
            <w:pPr>
              <w:pStyle w:val="8"/>
              <w:spacing w:before="17" w:line="222" w:lineRule="auto"/>
              <w:ind w:left="21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n-辛醇/水分配系数：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8127BE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自燃温度：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  <w:tr w14:paraId="1280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F540EC">
            <w:pPr>
              <w:pStyle w:val="8"/>
              <w:spacing w:before="3" w:line="222" w:lineRule="auto"/>
              <w:ind w:left="22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分解温度：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74363C">
            <w:pPr>
              <w:pStyle w:val="8"/>
              <w:spacing w:before="46" w:line="222" w:lineRule="auto"/>
              <w:ind w:left="28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粘度：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 w:bidi="ar"/>
              </w:rPr>
              <w:t>无数据资料</w:t>
            </w:r>
          </w:p>
        </w:tc>
      </w:tr>
    </w:tbl>
    <w:p w14:paraId="366B61ED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434340</wp:posOffset>
                </wp:positionV>
                <wp:extent cx="6905625" cy="0"/>
                <wp:effectExtent l="0" t="6350" r="0" b="63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05" y="297307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25pt;margin-top:34.2pt;height:0pt;width:543.75pt;z-index:251660288;mso-width-relative:page;mso-height-relative:page;" filled="f" stroked="t" coordsize="21600,21600" o:gfxdata="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3dvk7ZAAAACgEAAA8AAAAAAAAAAQAgAAAAIgAAAGRycy9kb3ducmV2LnhtbFBLAQIU&#10;ABQAAAAIAIdO4kCPBt9o8gEAAL8DAAAOAAAAAAAAAAEAIAAAACg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D36259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10 部分 稳定性和反应性</w:t>
      </w:r>
    </w:p>
    <w:p w14:paraId="2A1EACC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稳定性：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本产品在标准环境条件下 (室温)化学性质稳定</w:t>
      </w:r>
    </w:p>
    <w:p w14:paraId="4DB610E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反应性：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无资料</w:t>
      </w:r>
    </w:p>
    <w:p w14:paraId="55950A92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危险反应：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无资料 </w:t>
      </w:r>
    </w:p>
    <w:p w14:paraId="627CF52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避免接触的条件：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 xml:space="preserve"> 避免接触强碱性物质 </w:t>
      </w:r>
    </w:p>
    <w:p w14:paraId="13A7A08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危险的分解产物：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其它分解产物 - 无资料。</w:t>
      </w:r>
    </w:p>
    <w:p w14:paraId="526FDCF1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313690</wp:posOffset>
                </wp:positionV>
                <wp:extent cx="6905625" cy="0"/>
                <wp:effectExtent l="0" t="6350" r="0" b="63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105" y="5161915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25pt;margin-top:24.7pt;height:0pt;width:543.75pt;z-index:251661312;mso-width-relative:page;mso-height-relative:page;" filled="f" stroked="t" coordsize="21600,21600" o:gfxdata="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Nh9/ZAAAACgEAAA8AAAAAAAAAAQAgAAAAIgAAAGRycy9kb3ducmV2LnhtbFBLAQIU&#10;ABQAAAAIAIdO4kAEartR8gEAAL8DAAAOAAAAAAAAAAEAIAAAACg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4DA12A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11 部分 毒理学信息</w:t>
      </w:r>
    </w:p>
    <w:p w14:paraId="1A891458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 xml:space="preserve">急性毒性： </w:t>
      </w:r>
    </w:p>
    <w:p w14:paraId="686DFB40">
      <w:pPr>
        <w:pStyle w:val="8"/>
        <w:spacing w:before="33" w:line="184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LD50 经口-大鼠- &gt; 5,000 mg/kg</w:t>
      </w:r>
    </w:p>
    <w:p w14:paraId="2D9974AE">
      <w:pPr>
        <w:pStyle w:val="8"/>
        <w:spacing w:before="33" w:line="184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吸入: 无数据资料</w:t>
      </w:r>
    </w:p>
    <w:p w14:paraId="2EBA6B19">
      <w:pPr>
        <w:pStyle w:val="8"/>
        <w:spacing w:before="33" w:line="184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LD50 经皮 - 大鼠 - 雄性和雌性 - &gt; 2,000 mg/kg</w:t>
      </w:r>
    </w:p>
    <w:p w14:paraId="398F5CB8">
      <w:pPr>
        <w:pStyle w:val="8"/>
        <w:spacing w:before="33" w:line="184" w:lineRule="auto"/>
        <w:ind w:left="21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2"/>
          <w:szCs w:val="22"/>
          <w:lang w:val="en-US" w:eastAsia="zh-CN" w:bidi="ar"/>
        </w:rPr>
        <w:t>致癌性：</w:t>
      </w:r>
    </w:p>
    <w:p w14:paraId="6217B6C0">
      <w:pPr>
        <w:pStyle w:val="8"/>
        <w:spacing w:before="33" w:line="184" w:lineRule="auto"/>
        <w:ind w:left="21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生殖毒性 无生殖毒性</w:t>
      </w:r>
    </w:p>
    <w:p w14:paraId="2AAC64A7">
      <w:pPr>
        <w:pStyle w:val="8"/>
        <w:spacing w:before="33" w:line="184" w:lineRule="auto"/>
        <w:ind w:left="21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特异性靶器官系统毒性（一次接触）无数据资料</w:t>
      </w:r>
    </w:p>
    <w:p w14:paraId="1F6C2836">
      <w:pPr>
        <w:pStyle w:val="8"/>
        <w:spacing w:before="33" w:line="184" w:lineRule="auto"/>
        <w:ind w:left="21"/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2"/>
          <w:szCs w:val="22"/>
          <w:lang w:val="en-US" w:eastAsia="zh-CN" w:bidi="ar"/>
        </w:rPr>
        <w:t>特异性靶器官系统毒性（反复接触）长期或反复接触可能损害器官。-甲状腺</w:t>
      </w:r>
    </w:p>
    <w:p w14:paraId="7F4CFB39">
      <w:pPr>
        <w:pStyle w:val="8"/>
        <w:spacing w:before="33" w:line="184" w:lineRule="auto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</w:p>
    <w:p w14:paraId="04FEC38E">
      <w:pPr>
        <w:rPr>
          <w:rFonts w:hint="default" w:ascii="Times New Roman" w:hAnsi="Times New Roman" w:cs="Times New Roman"/>
          <w:color w:val="auto"/>
        </w:rPr>
      </w:pPr>
    </w:p>
    <w:p w14:paraId="3DE01C3B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290830</wp:posOffset>
                </wp:positionV>
                <wp:extent cx="6924675" cy="0"/>
                <wp:effectExtent l="0" t="6350" r="0" b="63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580" y="2906395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5pt;margin-top:22.9pt;height:0pt;width:545.25pt;z-index:251662336;mso-width-relative:page;mso-height-relative:page;" filled="f" stroked="t" coordsize="21600,21600" o:gfxdata="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R8WX9kAAAAKAQAADwAAAAAAAAABACAAAAAiAAAAZHJzL2Rvd25yZXYueG1sUEsB&#10;AhQAFAAAAAgAh07iQCKAJRP0AQAAvwMAAA4AAAAAAAAAAQAgAAAAKAEAAGRycy9lMm9Eb2MueG1s&#10;UEsFBgAAAAAGAAYAWQEAAI4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1FE009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12 部分 生态学信息</w:t>
      </w:r>
    </w:p>
    <w:p w14:paraId="0B527BF0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生态毒性 无数据资料</w:t>
      </w:r>
    </w:p>
    <w:p w14:paraId="167574E8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持久性和降解性 无数据资料</w:t>
      </w:r>
    </w:p>
    <w:p w14:paraId="406F82D5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潜在的生物累积性 无数据资料</w:t>
      </w:r>
    </w:p>
    <w:p w14:paraId="4F190691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土壤中的迁移性 无数据资料</w:t>
      </w:r>
    </w:p>
    <w:p w14:paraId="0D16189F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PBT 和 vPvB的结果评价 无数据资料</w:t>
      </w:r>
    </w:p>
    <w:p w14:paraId="3834514B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其它不良影响 无数据资料</w:t>
      </w:r>
    </w:p>
    <w:p w14:paraId="3867DE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 w14:paraId="2CA6C0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 w14:paraId="7D84C09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 w14:paraId="539977B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13 部分 废弃处置</w:t>
      </w:r>
    </w:p>
    <w:p w14:paraId="420FC73B">
      <w:pPr>
        <w:pStyle w:val="8"/>
        <w:spacing w:before="33" w:line="184" w:lineRule="auto"/>
        <w:ind w:left="21"/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0"/>
          <w:szCs w:val="20"/>
          <w:lang w:val="en-US" w:eastAsia="zh-CN" w:bidi="ar"/>
        </w:rPr>
        <w:t>废物处理方法</w:t>
      </w:r>
    </w:p>
    <w:p w14:paraId="3129B75C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产品</w:t>
      </w:r>
    </w:p>
    <w:p w14:paraId="04A7FD12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将剩余的和不可回收的溶液交给有许可证的公司处理 。 联系专业的拥有废弃物处理执照的机构来处理此物质 。</w:t>
      </w:r>
    </w:p>
    <w:p w14:paraId="435AA34B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受污染的容器和包装 按未用产品处置 。</w:t>
      </w:r>
    </w:p>
    <w:p w14:paraId="3FA0E78C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277495</wp:posOffset>
                </wp:positionV>
                <wp:extent cx="6924675" cy="0"/>
                <wp:effectExtent l="0" t="6350" r="0" b="63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580" y="2106295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8.35pt;margin-top:21.85pt;height:0pt;width:545.25pt;z-index:251664384;mso-width-relative:page;mso-height-relative:page;" filled="f" stroked="t" coordsize="21600,21600" o:gfxdata="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HpOin2QAAAAoBAAAPAAAAAAAAAAEAIAAAACIAAABkcnMvZG93bnJldi54bWxQSwEC&#10;FAAUAAAACACHTuJAyKmH5/MBAAC/AwAADgAAAAAAAAABACAAAAAoAQAAZHJzL2Uyb0RvYy54bWxQ&#10;SwUGAAAAAAYABgBZAQAAj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250CD5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14 部分 运输信息</w:t>
      </w:r>
    </w:p>
    <w:p w14:paraId="519C4211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联合国危险货物编号</w:t>
      </w:r>
    </w:p>
    <w:p w14:paraId="1A051B45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欧洲陆运危规: 281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  国际海运危规: 281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  国际空运危规: 281</w:t>
      </w:r>
      <w:r>
        <w:rPr>
          <w:rFonts w:hint="eastAsia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 联合国运输名称</w:t>
      </w:r>
    </w:p>
    <w:p w14:paraId="1EE651A0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欧洲陆运危规: TOXIC SOLID, ORGANIC, N.O.S. (2-Imidazolidone) 国际海运危规:  TOXIC SOLID, ORGANIC, N.O.S. (2-Imidazolidone) 国际空运危规:  TOXIC SOLID, ORGANIC, N.O.S. (2-Imidazolidone)</w:t>
      </w:r>
    </w:p>
    <w:p w14:paraId="0D2F8C87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运输危险类别</w:t>
      </w:r>
    </w:p>
    <w:p w14:paraId="37EEAE37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欧洲陆运危规: 6.1  国际海运危规: 6.1  国际空运危规: 6.1 </w:t>
      </w:r>
    </w:p>
    <w:p w14:paraId="186C74D8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欧洲陆运危规: III 国际海运危规: III  国际空运危规: III </w:t>
      </w:r>
    </w:p>
    <w:p w14:paraId="6F2D1751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欧洲陆运危规: 否 国际海运危规 海洋污染物（是/否）: 否</w:t>
      </w:r>
    </w:p>
    <w:p w14:paraId="0174C423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国际空运危规: 否</w:t>
      </w:r>
    </w:p>
    <w:p w14:paraId="5F48B01C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对使用者的特别提醒 无数据资料</w:t>
      </w:r>
    </w:p>
    <w:p w14:paraId="16914DBD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226" w:right="0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323215</wp:posOffset>
                </wp:positionV>
                <wp:extent cx="6915150" cy="0"/>
                <wp:effectExtent l="0" t="6350" r="0" b="63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580" y="7434580"/>
                          <a:ext cx="691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5pt;margin-top:25.45pt;height:0pt;width:544.5pt;z-index:251663360;mso-width-relative:page;mso-height-relative:page;" filled="f" stroked="t" coordsize="21600,21600" o:gfxdata="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jB3d2AAAAAoBAAAPAAAAAAAAAAEAIAAAACIAAABkcnMvZG93bnJldi54bWxQSwECFAAU&#10;AAAACACHTuJALEs0MfEBAAC/AwAADgAAAAAAAAABACAAAAAn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1685A6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lang w:val="en-US" w:eastAsia="zh-CN" w:bidi="ar"/>
        </w:rPr>
        <w:t>第 15 部分 法规信息</w:t>
      </w:r>
    </w:p>
    <w:p w14:paraId="3E4C604F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 xml:space="preserve">专门对此物质或混合物的安全 ，健康和环境的规章 / 法规 </w:t>
      </w:r>
    </w:p>
    <w:p w14:paraId="2D71DC26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适用法规</w:t>
      </w:r>
    </w:p>
    <w:p w14:paraId="69BE84FC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请注意废物处理也应该满足当地法规的要求 。</w:t>
      </w:r>
    </w:p>
    <w:p w14:paraId="3646B9F1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若适用 ，该化学品满足《危险化学品安全管理条例》（2002年1月9号国务院通过）的要求 。</w:t>
      </w:r>
    </w:p>
    <w:p w14:paraId="2FC26C07">
      <w:pPr>
        <w:pStyle w:val="8"/>
        <w:spacing w:before="33" w:line="184" w:lineRule="auto"/>
        <w:ind w:left="21"/>
        <w:rPr>
          <w:rFonts w:hint="default" w:ascii="Times New Roman" w:hAnsi="Times New Roman" w:cs="Times New Roman"/>
          <w:color w:val="auto"/>
          <w:sz w:val="30"/>
          <w:szCs w:val="30"/>
        </w:rPr>
      </w:pPr>
    </w:p>
    <w:p w14:paraId="4FEFA7CE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 xml:space="preserve">第 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16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 xml:space="preserve">部分 </w:t>
      </w:r>
      <w:r>
        <w:rPr>
          <w:rFonts w:hint="default" w:ascii="Times New Roman" w:hAnsi="Times New Roman" w:cs="Times New Roman"/>
          <w:color w:val="auto"/>
          <w:sz w:val="30"/>
          <w:szCs w:val="30"/>
          <w:lang w:val="en-US" w:eastAsia="zh-CN"/>
        </w:rPr>
        <w:t>其他信息</w:t>
      </w:r>
    </w:p>
    <w:p w14:paraId="4BE38307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版权所有 ：山东峰泉新材料有限公司 。许可无限制纸张拷贝 ，仅限于内部使用 。</w:t>
      </w:r>
    </w:p>
    <w:p w14:paraId="21B4E0FA">
      <w:pPr>
        <w:pStyle w:val="8"/>
        <w:spacing w:before="33" w:line="184" w:lineRule="auto"/>
        <w:ind w:left="21"/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2"/>
          <w:szCs w:val="22"/>
          <w:lang w:val="en-US" w:eastAsia="zh-CN" w:bidi="ar"/>
        </w:rPr>
        <w:t>上述信息视为正确 ，但不包含所有的信息 ，仅作为指引使用 。本文件中的信息是基于我们目前 所知 ，就正确的安全提示来说适用于本品 。该信息不代表对此产品性质的保证。公司对任何操 作或者接触上述产品而引起的损害不负有任何责任 。</w:t>
      </w:r>
    </w:p>
    <w:p w14:paraId="555E507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 w14:paraId="6EE742C6">
      <w:pPr>
        <w:pStyle w:val="8"/>
        <w:spacing w:before="33" w:line="184" w:lineRule="auto"/>
        <w:ind w:left="21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044581D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15784AC0">
      <w:pPr>
        <w:pStyle w:val="3"/>
        <w:keepNext w:val="0"/>
        <w:keepLines w:val="0"/>
        <w:widowControl/>
        <w:suppressLineNumbers w:val="0"/>
        <w:pBdr>
          <w:top w:val="single" w:color="auto" w:sz="6" w:space="0"/>
        </w:pBdr>
        <w:spacing w:before="150" w:beforeAutospacing="0" w:after="150" w:afterAutospacing="0"/>
        <w:ind w:left="0" w:right="0"/>
        <w:rPr>
          <w:rFonts w:hint="default" w:ascii="Times New Roman" w:hAnsi="Times New Roman" w:eastAsia="微软雅黑" w:cs="Times New Roman"/>
          <w:b/>
          <w:bCs/>
          <w:color w:val="auto"/>
          <w:kern w:val="0"/>
          <w:sz w:val="30"/>
          <w:szCs w:val="30"/>
          <w:lang w:val="en-US" w:eastAsia="zh-CN" w:bidi="ar"/>
        </w:rPr>
      </w:pPr>
    </w:p>
    <w:p w14:paraId="23FE059D">
      <w:pPr>
        <w:pStyle w:val="5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rPr>
          <w:rFonts w:hint="default" w:ascii="Times New Roman" w:hAnsi="Times New Roman" w:eastAsia="微软雅黑" w:cs="Times New Roman"/>
          <w:b/>
          <w:bCs/>
          <w:color w:val="auto"/>
          <w:kern w:val="0"/>
          <w:sz w:val="21"/>
          <w:szCs w:val="21"/>
          <w:lang w:val="en-US" w:eastAsia="zh-CN" w:bidi="ar"/>
        </w:rPr>
      </w:pPr>
    </w:p>
    <w:p w14:paraId="4A5E2CEA"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1361" w:right="1247" w:bottom="1361" w:left="1247" w:header="851" w:footer="992" w:gutter="0"/>
      <w:pgBorders w:offsetFrom="page">
        <w:top w:val="single" w:color="92D050" w:sz="12" w:space="24"/>
        <w:left w:val="single" w:color="92D050" w:sz="12" w:space="24"/>
        <w:bottom w:val="single" w:color="92D050" w:sz="12" w:space="24"/>
        <w:right w:val="single" w:color="92D050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WinCharSetFFFF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54D5C">
    <w:pPr>
      <w:widowControl/>
      <w:kinsoku w:val="0"/>
      <w:autoSpaceDE w:val="0"/>
      <w:autoSpaceDN w:val="0"/>
      <w:adjustRightInd w:val="0"/>
      <w:snapToGrid w:val="0"/>
      <w:spacing w:before="92" w:line="225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rFonts w:ascii="宋体" w:hAnsi="宋体" w:eastAsia="宋体" w:cs="宋体"/>
        <w:b/>
        <w:bCs/>
        <w:snapToGrid w:val="0"/>
        <w:color w:val="0F243E"/>
        <w:spacing w:val="4"/>
        <w:kern w:val="0"/>
        <w:sz w:val="31"/>
        <w:szCs w:val="31"/>
        <w:lang w:eastAsia="en-US"/>
      </w:rPr>
      <w:t>山东峰泉新材料有限公司</w:t>
    </w:r>
  </w:p>
  <w:p w14:paraId="03A1C523">
    <w:pPr>
      <w:pStyle w:val="10"/>
      <w:jc w:val="right"/>
    </w:pPr>
    <w:r>
      <w:rPr>
        <w:rFonts w:ascii="Times New Roman" w:hAnsi="Times New Roman" w:eastAsia="Times New Roman" w:cs="Times New Roman"/>
        <w:snapToGrid w:val="0"/>
        <w:color w:val="000000"/>
        <w:kern w:val="0"/>
        <w:position w:val="4"/>
        <w:sz w:val="28"/>
        <w:szCs w:val="28"/>
        <w:lang w:val="en-US" w:eastAsia="en-US" w:bidi="ar-SA"/>
      </w:rPr>
      <w:t>www.sdfqxcl.com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11B6"/>
    <w:rsid w:val="01853E11"/>
    <w:rsid w:val="02306473"/>
    <w:rsid w:val="0B381EF4"/>
    <w:rsid w:val="0E04185F"/>
    <w:rsid w:val="10294501"/>
    <w:rsid w:val="145E3FEF"/>
    <w:rsid w:val="1537321C"/>
    <w:rsid w:val="199E1ABC"/>
    <w:rsid w:val="1A3B4A95"/>
    <w:rsid w:val="1C472A4A"/>
    <w:rsid w:val="1CB515F6"/>
    <w:rsid w:val="1E2702D2"/>
    <w:rsid w:val="1F953961"/>
    <w:rsid w:val="20EE0834"/>
    <w:rsid w:val="230127AE"/>
    <w:rsid w:val="248D10AB"/>
    <w:rsid w:val="26D66D39"/>
    <w:rsid w:val="280E605F"/>
    <w:rsid w:val="2D214A86"/>
    <w:rsid w:val="31945827"/>
    <w:rsid w:val="33C67F1F"/>
    <w:rsid w:val="3418084E"/>
    <w:rsid w:val="347B0F20"/>
    <w:rsid w:val="39F03816"/>
    <w:rsid w:val="3D1B6DFC"/>
    <w:rsid w:val="444E3F5B"/>
    <w:rsid w:val="4791488A"/>
    <w:rsid w:val="47C95D12"/>
    <w:rsid w:val="4B553E21"/>
    <w:rsid w:val="4CAC7A71"/>
    <w:rsid w:val="50260CE8"/>
    <w:rsid w:val="52D47D21"/>
    <w:rsid w:val="556C1B20"/>
    <w:rsid w:val="59E85E60"/>
    <w:rsid w:val="5A53777D"/>
    <w:rsid w:val="5B6E2E10"/>
    <w:rsid w:val="5BC276B2"/>
    <w:rsid w:val="5D51085A"/>
    <w:rsid w:val="60C5514D"/>
    <w:rsid w:val="61377DF9"/>
    <w:rsid w:val="69230C63"/>
    <w:rsid w:val="6D9E3F65"/>
    <w:rsid w:val="782711B6"/>
    <w:rsid w:val="7ABD1384"/>
    <w:rsid w:val="7C1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市信房局</Company>
  <Pages>6</Pages>
  <Words>2511</Words>
  <Characters>2885</Characters>
  <Lines>0</Lines>
  <Paragraphs>0</Paragraphs>
  <TotalTime>7</TotalTime>
  <ScaleCrop>false</ScaleCrop>
  <LinksUpToDate>false</LinksUpToDate>
  <CharactersWithSpaces>3132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2025-02-21T00:36:00Z</dcterms:created>
  <dc:creator>Kirby Bee</dc:creator>
  <cp:lastModifiedBy>WPS_1744423304</cp:lastModifiedBy>
  <dcterms:modified xsi:type="dcterms:W3CDTF">2025-05-06T00:34:03Z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CC8E65CED2D049C5898C80E3C38D207D_13</vt:lpwstr>
  </property>
  <property fmtid="{D5CDD505-2E9C-101B-9397-08002B2CF9AE}" pid="4" name="KSOTemplateDocerSaveRecord">
    <vt:lpwstr>eyJoZGlkIjoiMzVjMGMyYzliYTc1MzgwZjk3N2VlOGNjZGVjZmE4NWYiLCJ1c2VySWQiOiIxMzgzNTczNzI0In0=</vt:lpwstr>
  </property>
</Properties>
</file>